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30"/>
        <w:spacing w:after="0" w:line="240" w:lineRule="auto"/>
        <w:ind w:left="-142" w:firstLine="142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Р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О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С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С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И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Й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С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К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А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Я</w:t>
      </w:r>
      <w:r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 Ф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Е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Д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Е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Р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А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Ц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И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Я</w: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</w:r>
    </w:p>
    <w:p>
      <w:pPr>
        <w:pStyle w:val="93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Б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Е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Л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Г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О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Р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О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Д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С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К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А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Я</w:t>
      </w:r>
      <w:r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 О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Б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Л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А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С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Т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Ь</w: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</w:p>
    <w:p>
      <w:pPr>
        <w:pStyle w:val="930"/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Arial" w:hAnsi="Arial" w:cs="Arial"/>
          <w:sz w:val="36"/>
          <w:szCs w:val="36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02177" cy="612314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02177" cy="6123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9.54pt;height:48.21pt;mso-wrap-distance-left:0.00pt;mso-wrap-distance-top:0.00pt;mso-wrap-distance-right:0.00pt;mso-wrap-distance-bottom:0.00pt;" stroked="f">
                <v:path textboxrect="0,0,0,0"/>
                <v:imagedata r:id="rId12" o:title=""/>
              </v:shape>
            </w:pict>
          </mc:Fallback>
        </mc:AlternateContent>
      </w:r>
      <w:r>
        <w:rPr>
          <w:rFonts w:ascii="Times New Roman" w:hAnsi="Times New Roman"/>
          <w:sz w:val="36"/>
          <w:szCs w:val="36"/>
        </w:rPr>
      </w:r>
      <w:r>
        <w:rPr>
          <w:rFonts w:ascii="Times New Roman" w:hAnsi="Times New Roman"/>
          <w:sz w:val="36"/>
          <w:szCs w:val="36"/>
        </w:rPr>
      </w:r>
    </w:p>
    <w:p>
      <w:pPr>
        <w:pStyle w:val="930"/>
        <w:keepNext/>
        <w:spacing w:after="0" w:line="240" w:lineRule="auto"/>
        <w:jc w:val="center"/>
        <w:outlineLvl w:val="0"/>
        <w:rPr>
          <w:rFonts w:ascii="Arial Narrow" w:hAnsi="Arial Narrow"/>
          <w:b/>
          <w:bCs/>
          <w:sz w:val="40"/>
          <w:szCs w:val="40"/>
          <w:highlight w:val="white"/>
        </w:rPr>
      </w:pPr>
      <w:r>
        <w:rPr>
          <w:rFonts w:ascii="Arial Narrow" w:hAnsi="Arial Narrow"/>
          <w:b/>
          <w:bCs/>
          <w:sz w:val="40"/>
          <w:szCs w:val="40"/>
          <w:highlight w:val="white"/>
        </w:rPr>
        <w:t xml:space="preserve">АДМИНИСТРАЦИЯ </w:t>
      </w:r>
      <w:r>
        <w:rPr>
          <w:rFonts w:ascii="Arial Narrow" w:hAnsi="Arial Narrow"/>
          <w:b/>
          <w:bCs/>
          <w:sz w:val="40"/>
          <w:szCs w:val="40"/>
          <w:highlight w:val="white"/>
        </w:rPr>
      </w:r>
      <w:r>
        <w:rPr>
          <w:rFonts w:ascii="Arial Narrow" w:hAnsi="Arial Narrow"/>
          <w:b/>
          <w:bCs/>
          <w:sz w:val="40"/>
          <w:szCs w:val="40"/>
          <w:highlight w:val="white"/>
        </w:rPr>
      </w:r>
    </w:p>
    <w:p>
      <w:pPr>
        <w:keepNext/>
        <w:spacing w:after="0" w:line="240" w:lineRule="auto"/>
        <w:jc w:val="center"/>
        <w:outlineLvl w:val="0"/>
        <w:rPr>
          <w:rFonts w:ascii="Arial Narrow" w:hAnsi="Arial Narrow"/>
          <w:b/>
          <w:bCs/>
          <w:sz w:val="40"/>
          <w:szCs w:val="40"/>
          <w:highlight w:val="none"/>
        </w:rPr>
      </w:pPr>
      <w:r>
        <w:rPr>
          <w:rFonts w:ascii="Arial Narrow" w:hAnsi="Arial Narrow"/>
          <w:b/>
          <w:bCs/>
          <w:sz w:val="40"/>
          <w:szCs w:val="40"/>
          <w:highlight w:val="white"/>
        </w:rPr>
        <w:t xml:space="preserve">ИВНЯНСКОГО МУНИЦИПАЛЬНОГО </w:t>
      </w:r>
      <w:r>
        <w:rPr>
          <w:rFonts w:ascii="Arial Narrow" w:hAnsi="Arial Narrow"/>
          <w:b/>
          <w:bCs/>
          <w:sz w:val="40"/>
          <w:szCs w:val="40"/>
          <w:highlight w:val="white"/>
        </w:rPr>
        <w:t xml:space="preserve">ОКРУГА</w:t>
      </w:r>
      <w:r>
        <w:rPr>
          <w:rFonts w:ascii="Arial Narrow" w:hAnsi="Arial Narrow"/>
          <w:b/>
          <w:bCs/>
          <w:sz w:val="40"/>
          <w:szCs w:val="40"/>
          <w:highlight w:val="none"/>
        </w:rPr>
      </w:r>
      <w:r>
        <w:rPr>
          <w:rFonts w:ascii="Arial Narrow" w:hAnsi="Arial Narrow"/>
          <w:b/>
          <w:bCs/>
          <w:sz w:val="40"/>
          <w:szCs w:val="40"/>
          <w:highlight w:val="none"/>
        </w:rPr>
      </w:r>
    </w:p>
    <w:p>
      <w:pPr>
        <w:keepNext/>
        <w:spacing w:after="0" w:line="240" w:lineRule="auto"/>
        <w:jc w:val="center"/>
        <w:outlineLvl w:val="0"/>
        <w:rPr>
          <w:rFonts w:ascii="Arial Narrow" w:hAnsi="Arial Narrow"/>
          <w:b/>
          <w:bCs/>
          <w:sz w:val="40"/>
          <w:szCs w:val="40"/>
          <w:highlight w:val="white"/>
        </w:rPr>
      </w:pPr>
      <w:r>
        <w:rPr>
          <w:rFonts w:ascii="Arial Narrow" w:hAnsi="Arial Narrow"/>
          <w:b/>
          <w:bCs/>
          <w:sz w:val="40"/>
          <w:szCs w:val="40"/>
          <w:highlight w:val="none"/>
        </w:rPr>
        <w:t xml:space="preserve">БЕЛГОРОДСКОЙ ОБЛАСТИ</w:t>
      </w:r>
      <w:r>
        <w:rPr>
          <w:rFonts w:ascii="Arial Narrow" w:hAnsi="Arial Narrow"/>
          <w:b/>
          <w:bCs/>
          <w:sz w:val="40"/>
          <w:szCs w:val="40"/>
          <w:highlight w:val="white"/>
        </w:rPr>
      </w:r>
      <w:r>
        <w:rPr>
          <w:rFonts w:ascii="Arial Narrow" w:hAnsi="Arial Narrow"/>
          <w:b/>
          <w:bCs/>
          <w:sz w:val="40"/>
          <w:szCs w:val="40"/>
          <w:highlight w:val="white"/>
        </w:rPr>
      </w:r>
    </w:p>
    <w:p>
      <w:pPr>
        <w:pStyle w:val="930"/>
        <w:keepNext/>
        <w:spacing w:after="0" w:line="240" w:lineRule="auto"/>
        <w:jc w:val="center"/>
        <w:outlineLvl w:val="0"/>
        <w:rPr>
          <w:rFonts w:ascii="Arial" w:hAnsi="Arial" w:cs="Arial"/>
          <w:b/>
          <w:bCs/>
          <w:sz w:val="32"/>
          <w:szCs w:val="32"/>
          <w:highlight w:val="none"/>
        </w:rPr>
      </w:pPr>
      <w:r>
        <w:rPr>
          <w:rFonts w:ascii="Arial" w:hAnsi="Arial" w:cs="Arial"/>
          <w:b/>
          <w:bCs/>
          <w:sz w:val="32"/>
          <w:szCs w:val="32"/>
        </w:rPr>
        <w:t xml:space="preserve">П О С Т А Н О В Л Е</w:t>
      </w:r>
      <w:r>
        <w:rPr>
          <w:rFonts w:ascii="Arial" w:hAnsi="Arial" w:cs="Arial"/>
          <w:b/>
          <w:bCs/>
          <w:sz w:val="32"/>
          <w:szCs w:val="32"/>
        </w:rPr>
        <w:t xml:space="preserve"> Н И Е</w:t>
      </w:r>
      <w:r>
        <w:rPr>
          <w:rFonts w:ascii="Arial" w:hAnsi="Arial" w:cs="Arial"/>
          <w:b/>
          <w:bCs/>
          <w:sz w:val="32"/>
          <w:szCs w:val="32"/>
          <w:highlight w:val="none"/>
        </w:rPr>
      </w:r>
      <w:r>
        <w:rPr>
          <w:rFonts w:ascii="Arial" w:hAnsi="Arial" w:cs="Arial"/>
          <w:b/>
          <w:bCs/>
          <w:sz w:val="32"/>
          <w:szCs w:val="32"/>
          <w:highlight w:val="none"/>
        </w:rPr>
      </w:r>
    </w:p>
    <w:p>
      <w:pPr>
        <w:pStyle w:val="930"/>
        <w:spacing w:after="0" w:line="240" w:lineRule="auto"/>
        <w:jc w:val="center"/>
        <w:rPr>
          <w:rFonts w:ascii="Arial" w:hAnsi="Arial" w:cs="Arial"/>
          <w:b/>
          <w:sz w:val="17"/>
          <w:szCs w:val="17"/>
        </w:rPr>
      </w:pPr>
      <w:r>
        <w:rPr>
          <w:rFonts w:ascii="Arial" w:hAnsi="Arial" w:cs="Arial"/>
          <w:b/>
          <w:sz w:val="17"/>
          <w:szCs w:val="17"/>
        </w:rPr>
        <w:t xml:space="preserve">Посёлок Ивня</w:t>
      </w:r>
      <w:r>
        <w:rPr>
          <w:rFonts w:ascii="Arial" w:hAnsi="Arial" w:cs="Arial"/>
          <w:b/>
          <w:sz w:val="17"/>
          <w:szCs w:val="17"/>
        </w:rPr>
      </w:r>
      <w:r>
        <w:rPr>
          <w:rFonts w:ascii="Arial" w:hAnsi="Arial" w:cs="Arial"/>
          <w:b/>
          <w:sz w:val="17"/>
          <w:szCs w:val="17"/>
        </w:rPr>
      </w:r>
    </w:p>
    <w:p>
      <w:pPr>
        <w:pStyle w:val="930"/>
        <w:spacing w:after="0" w:line="240" w:lineRule="auto"/>
        <w:jc w:val="center"/>
        <w:rPr>
          <w:rFonts w:ascii="Arial" w:hAnsi="Arial" w:cs="Arial"/>
          <w:b/>
          <w:sz w:val="17"/>
          <w:szCs w:val="17"/>
        </w:rPr>
      </w:pPr>
      <w:r>
        <w:rPr>
          <w:rFonts w:ascii="Arial" w:hAnsi="Arial" w:cs="Arial"/>
          <w:b/>
          <w:sz w:val="17"/>
          <w:szCs w:val="17"/>
        </w:rPr>
      </w:r>
      <w:r>
        <w:rPr>
          <w:rFonts w:ascii="Arial" w:hAnsi="Arial" w:cs="Arial"/>
          <w:b/>
          <w:sz w:val="17"/>
          <w:szCs w:val="17"/>
        </w:rPr>
      </w:r>
      <w:r>
        <w:rPr>
          <w:rFonts w:ascii="Arial" w:hAnsi="Arial" w:cs="Arial"/>
          <w:b/>
          <w:sz w:val="17"/>
          <w:szCs w:val="17"/>
        </w:rPr>
      </w:r>
    </w:p>
    <w:p>
      <w:pPr>
        <w:pStyle w:val="93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tbl>
      <w:tblPr>
        <w:tblW w:w="9601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934"/>
        <w:gridCol w:w="427"/>
        <w:gridCol w:w="2408"/>
        <w:gridCol w:w="2832"/>
      </w:tblGrid>
      <w:tr>
        <w:trPr/>
        <w:tblPrEx/>
        <w:tc>
          <w:tcPr>
            <w:tcW w:w="393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___________</w:t>
            </w:r>
            <w:r>
              <w:rPr>
                <w:rFonts w:ascii="Arial" w:hAnsi="Arial" w:cs="Arial"/>
                <w:sz w:val="18"/>
                <w:szCs w:val="18"/>
              </w:rPr>
              <w:t xml:space="preserve">_____</w:t>
            </w:r>
            <w:r>
              <w:rPr>
                <w:rFonts w:ascii="Arial" w:hAnsi="Arial" w:cs="Arial"/>
                <w:sz w:val="18"/>
                <w:szCs w:val="18"/>
              </w:rPr>
              <w:t xml:space="preserve">____</w:t>
            </w:r>
            <w:r>
              <w:rPr>
                <w:rFonts w:ascii="Arial" w:hAnsi="Arial" w:cs="Arial"/>
                <w:sz w:val="18"/>
                <w:szCs w:val="18"/>
              </w:rPr>
              <w:t xml:space="preserve">__</w:t>
            </w:r>
            <w:r>
              <w:rPr>
                <w:rFonts w:ascii="Arial" w:hAnsi="Arial" w:cs="Arial"/>
                <w:sz w:val="18"/>
                <w:szCs w:val="18"/>
              </w:rPr>
              <w:t xml:space="preserve">__</w:t>
            </w:r>
            <w:r>
              <w:rPr>
                <w:rFonts w:ascii="Arial" w:hAnsi="Arial" w:cs="Arial"/>
                <w:sz w:val="18"/>
                <w:szCs w:val="18"/>
              </w:rPr>
              <w:t xml:space="preserve"> 2026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г.</w: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  <w:tc>
          <w:tcPr>
            <w:tcW w:w="2835" w:type="dxa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  <w:tc>
          <w:tcPr>
            <w:tcW w:w="283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№ _______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</w:r>
          </w:p>
        </w:tc>
      </w:tr>
      <w:tr>
        <w:trPr/>
        <w:tblPrEx/>
        <w:tc>
          <w:tcPr>
            <w:tcW w:w="4361" w:type="dxa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spacing w:after="0" w:line="240" w:lineRule="auto"/>
              <w:ind w:right="37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  <w:p>
            <w:pPr>
              <w:pStyle w:val="930"/>
              <w:spacing w:after="0" w:line="240" w:lineRule="auto"/>
              <w:ind w:right="37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5240" w:type="dxa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930"/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tbl>
      <w:tblPr>
        <w:tblW w:w="9604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935"/>
        <w:gridCol w:w="5669"/>
      </w:tblGrid>
      <w:tr>
        <w:trPr>
          <w:trHeight w:val="650"/>
        </w:trPr>
        <w:tblPrEx/>
        <w:tc>
          <w:tcPr>
            <w:tcW w:w="3935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53"/>
              <w:spacing w:line="240" w:lineRule="auto"/>
              <w:ind w:right="-87" w:firstLine="0"/>
              <w:jc w:val="both"/>
              <w:rPr>
                <w:b/>
                <w:bCs/>
                <w:sz w:val="28"/>
                <w:szCs w:val="28"/>
                <w:highlight w:val="none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 xml:space="preserve">О рейтинге участников проектной деятельности</w:t>
            </w:r>
            <w:r>
              <w:rPr>
                <w:b/>
                <w:bCs/>
                <w:sz w:val="28"/>
                <w:szCs w:val="28"/>
                <w:highlight w:val="none"/>
                <w:lang w:eastAsia="ru-RU"/>
              </w:rPr>
            </w:r>
            <w:r>
              <w:rPr>
                <w:b/>
                <w:bCs/>
                <w:sz w:val="28"/>
                <w:szCs w:val="28"/>
                <w:highlight w:val="none"/>
                <w:lang w:eastAsia="ru-RU"/>
              </w:rPr>
            </w:r>
          </w:p>
        </w:tc>
        <w:tc>
          <w:tcPr>
            <w:tcW w:w="5669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</w:tbl>
    <w:p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3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30"/>
        <w:spacing w:after="0" w:line="240" w:lineRule="auto"/>
        <w:ind w:left="0" w:right="0" w:firstLine="567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В соответствии с приказом Министерства цифрового развития Белгородской области от 11.09.2025 года № 106 «О рейтинге участников проектной деятельности»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</w:rPr>
        <w:t xml:space="preserve">в целях создания </w:t>
      </w:r>
      <w:r>
        <w:rPr>
          <w:rFonts w:ascii="Times New Roman" w:hAnsi="Times New Roman"/>
          <w:sz w:val="28"/>
          <w:szCs w:val="28"/>
        </w:rPr>
        <w:t xml:space="preserve">единообразного механизма оценки качества выполняемых участниками </w:t>
      </w:r>
      <w:r>
        <w:rPr>
          <w:rFonts w:ascii="Times New Roman" w:hAnsi="Times New Roman"/>
          <w:sz w:val="28"/>
          <w:szCs w:val="28"/>
        </w:rPr>
        <w:t xml:space="preserve">проектной деятельности проектных              ролей на территории Ивнянского муниципального округа,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также в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целях приведения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в соответствие с действующим законодательством                    Российской Федерации нормативных правовых актов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дминистрация Ивнянского муниципального округа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о с т а н о в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л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я е т</w:t>
      </w:r>
      <w:r>
        <w:rPr>
          <w:rFonts w:ascii="Times New Roman" w:hAnsi="Times New Roman"/>
          <w:sz w:val="28"/>
          <w:szCs w:val="28"/>
        </w:rPr>
        <w:t xml:space="preserve">:</w:t>
      </w:r>
      <w:r>
        <w:rPr>
          <w:rFonts w:ascii="Times New Roman" w:hAnsi="Times New Roman"/>
          <w:sz w:val="28"/>
          <w:szCs w:val="28"/>
        </w:rPr>
      </w:r>
    </w:p>
    <w:p>
      <w:pPr>
        <w:tabs>
          <w:tab w:val="left" w:pos="709" w:leader="none"/>
          <w:tab w:val="left" w:pos="850" w:leader="none"/>
        </w:tabs>
        <w:spacing w:after="0" w:line="240" w:lineRule="auto"/>
        <w:ind w:left="0" w:right="0" w:firstLine="567"/>
        <w:contextualSpacing/>
        <w:jc w:val="both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1.Утвердить Порядок ведения рейтинга </w:t>
      </w:r>
      <w:r>
        <w:rPr>
          <w:rFonts w:ascii="Times New Roman" w:hAnsi="Times New Roman"/>
          <w:sz w:val="28"/>
          <w:szCs w:val="28"/>
        </w:rPr>
        <w:t xml:space="preserve">участников проектной деятельности в органах местного самоуправления Ивнянского муниципального округа (прилагается).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tabs>
          <w:tab w:val="left" w:pos="850" w:leader="none"/>
          <w:tab w:val="left" w:pos="1417" w:leader="none"/>
        </w:tabs>
        <w:spacing w:after="0" w:line="240" w:lineRule="auto"/>
        <w:ind w:left="0" w:right="0"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  <w:highlight w:val="none"/>
        </w:rPr>
        <w:t xml:space="preserve">2.П</w:t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  <w:highlight w:val="none"/>
        </w:rPr>
        <w:t xml:space="preserve">ризнать утратившим силу распоряжение Администрации муниципального района «Ивнянский район» от 5 июня 2018 года № 354-р                 «</w:t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  <w:highlight w:val="none"/>
        </w:rPr>
        <w:t xml:space="preserve">О рейтинге участников проектной деятельности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»</w:t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  <w:highlight w:val="none"/>
        </w:rPr>
        <w:t xml:space="preserve">. 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spacing w:after="0" w:line="240" w:lineRule="auto"/>
        <w:ind w:left="0" w:right="0" w:firstLine="567"/>
        <w:contextualSpacing/>
        <w:jc w:val="both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3.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Контроль за исполнением постановления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возложить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на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заместителя Главы округа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руководителя аппарата Админи</w:t>
      </w:r>
      <w:r>
        <w:rPr>
          <w:rFonts w:ascii="Times New Roman" w:hAnsi="Times New Roman"/>
          <w:sz w:val="28"/>
          <w:szCs w:val="28"/>
        </w:rPr>
        <w:t xml:space="preserve">страции Ивнянского </w:t>
      </w:r>
      <w:r>
        <w:rPr>
          <w:rFonts w:ascii="Times New Roman" w:hAnsi="Times New Roman"/>
          <w:sz w:val="28"/>
          <w:szCs w:val="28"/>
        </w:rPr>
        <w:t xml:space="preserve">муниципального округа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Позднякову Н.А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spacing w:after="0" w:line="240" w:lineRule="auto"/>
        <w:ind w:left="0" w:right="0"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ind w:left="0" w:right="0"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ind w:left="0" w:right="0"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42"/>
          <w:szCs w:val="42"/>
          <w:highlight w:val="none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tbl>
      <w:tblPr>
        <w:tblW w:w="9777" w:type="dxa"/>
        <w:tblInd w:w="-37" w:type="dxa"/>
        <w:tblLayout w:type="fixed"/>
        <w:tblLook w:val="0000" w:firstRow="0" w:lastRow="0" w:firstColumn="0" w:lastColumn="0" w:noHBand="0" w:noVBand="0"/>
      </w:tblPr>
      <w:tblGrid>
        <w:gridCol w:w="4806"/>
        <w:gridCol w:w="4971"/>
      </w:tblGrid>
      <w:tr>
        <w:trPr>
          <w:trHeight w:val="331"/>
        </w:trPr>
        <w:tblPrEx/>
        <w:tc>
          <w:tcPr>
            <w:tcW w:w="4806" w:type="dxa"/>
            <w:noWrap w:val="false"/>
            <w:textDirection w:val="lrTb"/>
          </w:tcPr>
          <w:p>
            <w:pPr>
              <w:pStyle w:val="96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pStyle w:val="96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Ивнянского муниципального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4971" w:type="dxa"/>
            <w:noWrap w:val="false"/>
            <w:textDirection w:val="lrTb"/>
          </w:tcPr>
          <w:p>
            <w:pPr>
              <w:pStyle w:val="96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pStyle w:val="960"/>
              <w:ind w:left="0" w:right="-102" w:firstLine="0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И.А. Щепин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</w:tr>
    </w:tbl>
    <w:tbl>
      <w:tblPr>
        <w:tblW w:w="0" w:type="auto"/>
        <w:tblInd w:w="4927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927"/>
      </w:tblGrid>
      <w:tr>
        <w:trPr/>
        <w:tblPrEx/>
        <w:tc>
          <w:tcPr>
            <w:tcW w:w="4927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widowControl w:val="o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widowControl w:val="o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pStyle w:val="930"/>
              <w:widowControl w:val="o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Приложение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pStyle w:val="930"/>
              <w:widowControl w:val="o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</w:r>
            <w:r>
              <w:rPr>
                <w:rFonts w:ascii="Times New Roman" w:hAnsi="Times New Roman"/>
                <w:b/>
                <w:sz w:val="26"/>
                <w:szCs w:val="26"/>
              </w:rPr>
            </w:r>
            <w:r>
              <w:rPr>
                <w:rFonts w:ascii="Times New Roman" w:hAnsi="Times New Roman"/>
                <w:b/>
                <w:sz w:val="26"/>
                <w:szCs w:val="26"/>
              </w:rPr>
            </w:r>
          </w:p>
          <w:p>
            <w:pPr>
              <w:pStyle w:val="930"/>
              <w:widowControl w:val="o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УТВЕРЖДЕНО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  <w:p>
            <w:pPr>
              <w:pStyle w:val="930"/>
              <w:widowControl w:val="o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постановлением Администрации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  <w:p>
            <w:pPr>
              <w:pStyle w:val="930"/>
              <w:widowControl w:val="o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Ивнянского 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  <w:p>
            <w:pPr>
              <w:pStyle w:val="930"/>
              <w:widowControl w:val="off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«____»___________2026 года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№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_____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</w:tr>
    </w:tbl>
    <w:p>
      <w:pPr>
        <w:pStyle w:val="930"/>
        <w:widowControl w:val="off"/>
        <w:spacing w:line="240" w:lineRule="auto"/>
        <w:contextualSpacing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930"/>
        <w:widowControl w:val="off"/>
        <w:spacing w:line="240" w:lineRule="auto"/>
        <w:contextualSpacing/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 xml:space="preserve">                                                         </w:t>
      </w:r>
      <w:r>
        <w:rPr>
          <w:b/>
          <w:sz w:val="26"/>
          <w:szCs w:val="26"/>
        </w:rPr>
        <w:t xml:space="preserve">                               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930"/>
        <w:widowControl w:val="off"/>
        <w:spacing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  <w:t xml:space="preserve">Порядок ведения рейтинга </w:t>
      </w:r>
      <w:r>
        <w:rPr>
          <w:rFonts w:ascii="Times New Roman" w:hAnsi="Times New Roman"/>
          <w:b/>
          <w:bCs/>
          <w:sz w:val="28"/>
          <w:szCs w:val="28"/>
        </w:rPr>
        <w:t xml:space="preserve">участников проектной деятельности в органах местного самоуправления </w:t>
      </w:r>
      <w:r>
        <w:rPr>
          <w:rFonts w:ascii="Times New Roman" w:hAnsi="Times New Roman"/>
          <w:b/>
          <w:bCs/>
          <w:sz w:val="28"/>
          <w:szCs w:val="28"/>
        </w:rPr>
        <w:t xml:space="preserve">Ивнянского муниципального округа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930"/>
        <w:widowControl w:val="off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tabs>
          <w:tab w:val="left" w:pos="3119" w:leader="none"/>
        </w:tabs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1.1. Настоящий Поряд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ок ведения рейтинга участников проектной деятельности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в органах местного самоуправления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Ивнянского муниципального округа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(далее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– Порядок) устанавливает правила формирования и ведения рейтинга участников проектной деятельности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в органах местного самоуправления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Ивнянского муниципального округа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 (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далее – Рейтинг).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1.2. Целью формирования Рейтинга является усиление заинтересованности участников проектной деятельности в соблюдении сроков, а также повышение качества выполнения задач и реализации функций </w:t>
      </w:r>
      <w:r>
        <w:rPr>
          <w:rFonts w:ascii="Times New Roman" w:hAnsi="Times New Roman" w:cs="Times New Roman"/>
          <w:sz w:val="28"/>
          <w:szCs w:val="28"/>
          <w:highlight w:val="none"/>
        </w:rPr>
        <w:br/>
        <w:t xml:space="preserve">с использованием принципов управления проектами, возложенных </w:t>
      </w:r>
      <w:r>
        <w:rPr>
          <w:rFonts w:ascii="Times New Roman" w:hAnsi="Times New Roman" w:cs="Times New Roman"/>
          <w:sz w:val="28"/>
          <w:szCs w:val="28"/>
          <w:highlight w:val="none"/>
        </w:rPr>
        <w:br/>
        <w:t xml:space="preserve">на соответствующие органы местного самоуправления Ивнянского муниципального округа (далее – органы местного самоуправления).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c00000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1.3. Термины, применяемые в Порядке, соответствуют терминам, применяемым в постановлении Правительства Белгородской области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постановлении Правительства Белгородской области от 31 мая 2010 года                    № 202-пп «Об утверждении положения об управлении проектами                                 в исполнительных и государственных органах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Белгородской области,                            а также подведомственных им учреждениях и организациях»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 w:cs="Times New Roman"/>
          <w:b/>
          <w:bCs/>
          <w:color w:val="c00000"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color w:val="c00000"/>
          <w:sz w:val="28"/>
          <w:szCs w:val="28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1.4. Рейтинг формируется и ведется в отношении государственных гражданских служащих, а также работников органов местного самоуправления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, замещающих должности, не отнесённые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к должностям государственной гражданской службы,  участвующих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в проектной деятельности                         (далее – участники проектной деятельности),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за исключение руководителей исполнительных и государственных органов местного самоуправления.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  <w:t xml:space="preserve">2. Оценка участников проектной деятельности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2.1. 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Рейтингование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участников проектной деятельности производится </w:t>
      </w:r>
      <w:r>
        <w:rPr>
          <w:rFonts w:ascii="Times New Roman" w:hAnsi="Times New Roman" w:cs="Times New Roman"/>
          <w:sz w:val="28"/>
          <w:szCs w:val="28"/>
          <w:highlight w:val="none"/>
        </w:rPr>
        <w:br/>
        <w:t xml:space="preserve">в отношении лиц, указанных в п. 1. 4. Раздела 1 настоящего Порядка, выполняющих проектные роли: руководитель проекта, администратор проекта, ответственный за блок работ проекта, исполнитель проекта.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2.2. 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Рейтингование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производится структурным подразделением исполнительного органа, государственного органа области или лицом, </w:t>
      </w:r>
      <w:r>
        <w:rPr>
          <w:rFonts w:ascii="Times New Roman" w:hAnsi="Times New Roman" w:cs="Times New Roman"/>
          <w:sz w:val="28"/>
          <w:szCs w:val="28"/>
          <w:highlight w:val="none"/>
        </w:rPr>
        <w:br/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в обязанности которого входит сопровождение проектной деятельности </w:t>
      </w:r>
      <w:r>
        <w:rPr>
          <w:rFonts w:ascii="Times New Roman" w:hAnsi="Times New Roman" w:cs="Times New Roman"/>
          <w:sz w:val="28"/>
          <w:szCs w:val="28"/>
          <w:highlight w:val="none"/>
        </w:rPr>
        <w:br/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в данном исполнительном органе, государственном органе (далее – отраслевой проектный офис) путём расчёта суммарного показателя эффективности.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2.3. 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Суммарный показатель эффективности определяется </w:t>
      </w:r>
      <w:r>
        <w:rPr>
          <w:rFonts w:ascii="Times New Roman" w:hAnsi="Times New Roman" w:cs="Times New Roman"/>
          <w:sz w:val="28"/>
          <w:szCs w:val="28"/>
          <w:highlight w:val="none"/>
        </w:rPr>
        <w:br/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как со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вокупность показателей эффективности, представляющих собой оценочный критерий, используемый для определения качества (своевременности, результативности, эффективности и т.п.) осуществления участником проектной деятельности отдельной функции при выполнении </w:t>
      </w:r>
      <w:r>
        <w:rPr>
          <w:rFonts w:ascii="Times New Roman" w:hAnsi="Times New Roman" w:cs="Times New Roman"/>
          <w:sz w:val="28"/>
          <w:szCs w:val="28"/>
          <w:highlight w:val="none"/>
        </w:rPr>
        <w:br/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им проектной роли, поддающейся количественному измерению и являющейся значимым с точки зрения достижения целей проекта.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2.4. К по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казателям эффективности относится ранг в области проектного управления, коэффициенты выполнения, сложности и успешности              реализации проекта, а также весовые коэффициенты согласно приложению                               № 1к настоящему Порядку.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2.5. Расчёт суммарного показателя эффективности участника проектной деятельности осуществляется по следующей формуле: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highlight w:val="none"/>
        </w:rPr>
      </w:r>
      <w:bookmarkStart w:id="0" w:name="undefined"/>
      <w:r>
        <w:rPr>
          <w:highlight w:val="none"/>
        </w:rPr>
      </w:r>
      <w:bookmarkEnd w:id="0"/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  <w:highlight w:val="none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СПЭ=10*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К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  <w:vertAlign w:val="subscript"/>
        </w:rPr>
        <w:t xml:space="preserve">р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*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highlight w:val="none"/>
          </w:rPr>
          <m:t> </m:t>
        </m:r>
        <m:nary>
          <m:naryPr>
            <m:chr m:val="∑"/>
            <m:ctrlPr>
              <w:rPr>
                <w:rFonts w:ascii="Cambria Math" w:hAnsi="Cambria Math" w:eastAsia="Cambria Math" w:cs="Cambria Math"/>
                <w:i/>
                <w:sz w:val="28"/>
                <w:szCs w:val="28"/>
                <w:highlight w:val="none"/>
              </w:rPr>
            </m:ctrlPr>
            <m:grow m:val="off"/>
            <m:limLoc m:val="undOvr"/>
            <m:subHide m:val="on"/>
            <m:supHide m:val="on"/>
          </m:naryPr>
          <m:sub/>
          <m:sup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highlight w:val="none"/>
              </w:rPr>
              <m:t>( </m:t>
            </m:r>
            <m:sSub>
              <m:sSubPr>
                <m:ctrlPr>
                  <w:rPr>
                    <w:rFonts w:ascii="Cambria Math" w:hAnsi="Cambria Math" w:eastAsia="Cambria Math" w:cs="Cambria Math"/>
                    <w:i/>
                    <w:sz w:val="28"/>
                    <w:szCs w:val="28"/>
                    <w:highlight w:val="non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highlight w:val="none"/>
                  </w:rPr>
                  <m:t>К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highlight w:val="none"/>
                    <w:lang w:val="en-US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highlight w:val="none"/>
              </w:rPr>
              <m:t>*</m:t>
            </m:r>
            <m:nary>
              <m:naryPr>
                <m:chr m:val="∑"/>
                <m:ctrlPr>
                  <w:rPr>
                    <w:rFonts w:ascii="Cambria Math" w:hAnsi="Cambria Math" w:eastAsia="Cambria Math" w:cs="Cambria Math"/>
                    <w:i/>
                    <w:sz w:val="28"/>
                    <w:szCs w:val="28"/>
                    <w:highlight w:val="none"/>
                  </w:rPr>
                </m:ctrlPr>
                <m:grow m:val="off"/>
                <m:limLoc m:val="undOvr"/>
              </m:naryPr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highlight w:val="none"/>
                  </w:rPr>
                  <m:t>i=1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highlight w:val="none"/>
                  </w:rPr>
                  <m:t>n</m:t>
                </m:r>
              </m:sup>
              <m:e>
                <m:f>
                  <m:fPr>
                    <m:ctrlPr>
                      <w:rPr>
                        <w:rFonts w:ascii="Cambria Math" w:hAnsi="Cambria Math" w:eastAsia="Cambria Math" w:cs="Cambria Math"/>
                        <w:i/>
                        <w:sz w:val="28"/>
                        <w:szCs w:val="28"/>
                        <w:highlight w:val="none"/>
                      </w:rPr>
                    </m:ctrlPr>
                  </m:fPr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highlight w:val="none"/>
                        <w:lang w:val="en-US"/>
                      </w:rPr>
                      <m:t>i</m:t>
                    </m:r>
                  </m:den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highlight w:val="none"/>
                      </w:rPr>
                      <m:t>Кс*Кв</m:t>
                    </m:r>
                  </m:num>
                </m:f>
              </m:e>
            </m:nary>
          </m:e>
        </m:nary>
      </m:oMath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+</w:t>
      </w:r>
      <m:oMath>
        <m:sSub>
          <m:sSubPr>
            <m:ctrlPr>
              <w:rPr>
                <w:rFonts w:ascii="Cambria Math" w:hAnsi="Cambria Math" w:eastAsia="Cambria Math" w:cs="Cambria Math"/>
                <w:i/>
                <w:sz w:val="28"/>
                <w:szCs w:val="28"/>
                <w:highlight w:val="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highlight w:val="none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highlight w:val="none"/>
              </w:rPr>
              <m:t>з </m:t>
            </m:r>
          </m:sub>
        </m:sSub>
      </m:oMath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*</w:t>
      </w:r>
      <m:oMath>
        <m:nary>
          <m:naryPr>
            <m:chr m:val="∑"/>
            <m:ctrlPr>
              <w:rPr>
                <w:rFonts w:ascii="Cambria Math" w:hAnsi="Cambria Math" w:eastAsia="Cambria Math" w:cs="Cambria Math"/>
                <w:i/>
                <w:sz w:val="28"/>
                <w:szCs w:val="28"/>
                <w:highlight w:val="none"/>
              </w:rPr>
            </m:ctrlPr>
            <m:grow m:val="off"/>
            <m:limLoc m:val="undOvr"/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highlight w:val="none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highlight w:val="none"/>
                <w:lang w:val="en-US"/>
              </w:rPr>
              <m:t>n</m:t>
            </m:r>
          </m:sup>
          <m:e>
            <m:f>
              <m:fPr>
                <m:ctrlPr>
                  <w:rPr>
                    <w:rFonts w:ascii="Cambria Math" w:hAnsi="Cambria Math" w:eastAsia="Cambria Math" w:cs="Cambria Math"/>
                    <w:i/>
                    <w:sz w:val="28"/>
                    <w:szCs w:val="28"/>
                    <w:highlight w:val="none"/>
                  </w:rPr>
                </m:ctrlPr>
              </m:fPr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highlight w:val="none"/>
                    <w:lang w:val="en-US"/>
                  </w:rPr>
                  <m:t>i</m:t>
                </m:r>
              </m:den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highlight w:val="none"/>
                  </w:rPr>
                  <m:t>Кс*Ку</m:t>
                </m:r>
              </m:num>
            </m:f>
          </m:e>
        </m:nary>
        <m:r>
          <m:rPr>
            <m:sty m:val="p"/>
          </m:rPr>
          <w:rPr>
            <w:rFonts w:ascii="Cambria Math" w:hAnsi="Cambria Math" w:cs="Times New Roman"/>
            <w:sz w:val="28"/>
            <w:szCs w:val="28"/>
            <w:highlight w:val="none"/>
          </w:rPr>
          <m:t>  </m:t>
        </m:r>
      </m:oMath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)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,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i/>
          <w:sz w:val="28"/>
          <w:szCs w:val="28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г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де</w:t>
      </w:r>
      <w:r>
        <w:rPr>
          <w:rFonts w:ascii="Times New Roman" w:hAnsi="Times New Roman" w:cs="Times New Roman"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Cs/>
          <w:sz w:val="28"/>
          <w:szCs w:val="28"/>
          <w:highlight w:val="none"/>
        </w:rPr>
      </w:r>
    </w:p>
    <w:p>
      <w:pPr>
        <w:pStyle w:val="77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К 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  <w:vertAlign w:val="subscript"/>
          <w:lang w:val="en-US"/>
        </w:rPr>
        <w:t xml:space="preserve">n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  <w:vertAlign w:val="subscript"/>
        </w:rPr>
        <w:t xml:space="preserve"> 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- 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в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есовой коэффициент переходящих проектов, 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коэф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;</w:t>
      </w:r>
      <w:r>
        <w:rPr>
          <w:rFonts w:ascii="Times New Roman" w:hAnsi="Times New Roman" w:cs="Times New Roman"/>
          <w:bCs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Cs/>
          <w:sz w:val="28"/>
          <w:szCs w:val="28"/>
          <w:highlight w:val="none"/>
        </w:rPr>
      </w:r>
    </w:p>
    <w:p>
      <w:pPr>
        <w:pStyle w:val="77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none"/>
          <w:vertAlign w:val="subscript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К 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  <w:vertAlign w:val="subscript"/>
        </w:rPr>
        <w:t xml:space="preserve">з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- 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в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есовой коэффициент завершённых проектов, 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коэф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;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  <w:vertAlign w:val="subscript"/>
        </w:rPr>
      </w:r>
      <w:r>
        <w:rPr>
          <w:rFonts w:ascii="Times New Roman" w:hAnsi="Times New Roman" w:cs="Times New Roman"/>
          <w:sz w:val="28"/>
          <w:szCs w:val="28"/>
          <w:highlight w:val="none"/>
          <w:vertAlign w:val="subscript"/>
        </w:rPr>
      </w:r>
    </w:p>
    <w:p>
      <w:pPr>
        <w:pStyle w:val="77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К 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  <w:vertAlign w:val="subscript"/>
        </w:rPr>
        <w:t xml:space="preserve">р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- 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к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оэффициент ранга в области проектного управления, 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коэф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;</w:t>
      </w:r>
      <w:r>
        <w:rPr>
          <w:rFonts w:ascii="Times New Roman" w:hAnsi="Times New Roman" w:cs="Times New Roman"/>
          <w:bCs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Cs/>
          <w:sz w:val="28"/>
          <w:szCs w:val="28"/>
          <w:highlight w:val="none"/>
        </w:rPr>
      </w:r>
    </w:p>
    <w:p>
      <w:pPr>
        <w:pStyle w:val="77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К 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  <w:vertAlign w:val="subscript"/>
        </w:rPr>
        <w:t xml:space="preserve">с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  <w:vertAlign w:val="subscript"/>
        </w:rPr>
        <w:t xml:space="preserve"> 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- 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к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оэффициент сложности проекта, 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коэф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;</w:t>
      </w:r>
      <w:r>
        <w:rPr>
          <w:rFonts w:ascii="Times New Roman" w:hAnsi="Times New Roman" w:cs="Times New Roman"/>
          <w:bCs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Cs/>
          <w:sz w:val="28"/>
          <w:szCs w:val="28"/>
          <w:highlight w:val="none"/>
        </w:rPr>
      </w:r>
    </w:p>
    <w:p>
      <w:pPr>
        <w:pStyle w:val="77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К 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  <w:vertAlign w:val="subscript"/>
        </w:rPr>
        <w:t xml:space="preserve">в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- 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к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оэффициент выполнения (для переходящих проектов), 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коэф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;</w:t>
      </w:r>
      <w:r>
        <w:rPr>
          <w:rFonts w:ascii="Times New Roman" w:hAnsi="Times New Roman" w:cs="Times New Roman"/>
          <w:bCs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Cs/>
          <w:sz w:val="28"/>
          <w:szCs w:val="28"/>
          <w:highlight w:val="none"/>
        </w:rPr>
      </w:r>
    </w:p>
    <w:p>
      <w:pPr>
        <w:pStyle w:val="77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К 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  <w:vertAlign w:val="subscript"/>
        </w:rPr>
        <w:t xml:space="preserve">у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- 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к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оэффициент успешности проекта (для завершённых проектов), 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коэф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;</w:t>
      </w:r>
      <w:r>
        <w:rPr>
          <w:rFonts w:ascii="Times New Roman" w:hAnsi="Times New Roman" w:cs="Times New Roman"/>
          <w:bCs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Cs/>
          <w:sz w:val="28"/>
          <w:szCs w:val="28"/>
          <w:highlight w:val="none"/>
        </w:rPr>
      </w:r>
    </w:p>
    <w:p>
      <w:pPr>
        <w:pStyle w:val="77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  <w:lang w:val="en-US"/>
        </w:rPr>
        <w:t xml:space="preserve">i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- 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к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оличество проектов.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77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Cs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Cs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Cs/>
          <w:sz w:val="28"/>
          <w:szCs w:val="28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При этом коэффициент выполнения рассчитывается по формуле: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Cs/>
          <w:sz w:val="28"/>
          <w:szCs w:val="28"/>
          <w:highlight w:val="none"/>
        </w:rPr>
      </w:r>
    </w:p>
    <w:p>
      <w:pPr>
        <w:pStyle w:val="770"/>
        <w:numPr>
          <w:numId w:val="25"/>
          <w:ilvl w:val="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  <w:t xml:space="preserve">д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  <w:t xml:space="preserve">ля руководителя и администратора проекта: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Cs/>
          <w:sz w:val="28"/>
          <w:szCs w:val="28"/>
          <w:highlight w:val="none"/>
        </w:rPr>
      </w:r>
    </w:p>
    <w:p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highlight w:val="none"/>
        </w:rPr>
      </w:r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 w:eastAsia="Cambria Math" w:cs="Cambria Math"/>
                  <w:b w:val="0"/>
                  <w:i/>
                  <w:sz w:val="28"/>
                  <w:szCs w:val="28"/>
                  <w:highlight w:val="none"/>
                </w:rPr>
              </m:ctrlPr>
            </m:sSubPr>
            <m:e>
              <m:r>
                <m:rPr>
                  <m:sty m:val="p"/>
                </m:rPr>
                <w:rPr>
                  <w:rFonts w:hint="default" w:ascii="Cambria Math" w:hAnsi="Cambria Math" w:eastAsia="Cambria Math" w:cs="Cambria Math"/>
                  <w:sz w:val="28"/>
                  <w:szCs w:val="28"/>
                  <w:highlight w:val="none"/>
                </w:rPr>
                <m:t>К</m:t>
              </m:r>
            </m:e>
            <m:sub>
              <m:r>
                <m:rPr>
                  <m:sty m:val="p"/>
                </m:rPr>
                <w:rPr>
                  <w:rFonts w:hint="default" w:ascii="Cambria Math" w:hAnsi="Cambria Math" w:eastAsia="Cambria Math" w:cs="Cambria Math"/>
                  <w:sz w:val="28"/>
                  <w:szCs w:val="28"/>
                  <w:highlight w:val="none"/>
                </w:rPr>
                <m:t>в</m:t>
              </m:r>
            </m:sub>
          </m:sSub>
          <m:r>
            <m:rPr>
              <m:sty m:val="p"/>
            </m:rPr>
            <w:rPr>
              <w:rFonts w:hint="default" w:ascii="Cambria Math" w:hAnsi="Cambria Math" w:eastAsia="Cambria Math" w:cs="Cambria Math"/>
              <w:sz w:val="28"/>
              <w:szCs w:val="28"/>
              <w:highlight w:val="none"/>
            </w:rPr>
            <m:t>=</m:t>
          </m:r>
          <m:f>
            <m:fPr>
              <m:ctrlPr>
                <w:rPr>
                  <w:rFonts w:ascii="Cambria Math" w:hAnsi="Cambria Math" w:eastAsia="Cambria Math" w:cs="Cambria Math"/>
                  <w:b w:val="0"/>
                  <w:i/>
                  <w:sz w:val="28"/>
                  <w:szCs w:val="28"/>
                  <w:highlight w:val="none"/>
                </w:rPr>
              </m:ctrlPr>
            </m:fPr>
            <m:den>
              <m:r>
                <m:rPr>
                  <m:sty m:val="p"/>
                </m:rPr>
                <w:rPr>
                  <w:rFonts w:hint="default" w:ascii="Cambria Math" w:hAnsi="Cambria Math" w:eastAsia="Cambria Math" w:cs="Cambria Math"/>
                  <w:sz w:val="28"/>
                  <w:szCs w:val="28"/>
                  <w:highlight w:val="none"/>
                </w:rPr>
                <m:t>Рпо</m:t>
              </m:r>
            </m:den>
            <m:num>
              <m:r>
                <m:rPr>
                  <m:sty m:val="p"/>
                </m:rPr>
                <w:rPr>
                  <w:rFonts w:hint="default" w:ascii="Cambria Math" w:hAnsi="Cambria Math" w:eastAsia="Cambria Math" w:cs="Cambria Math"/>
                  <w:sz w:val="28"/>
                  <w:szCs w:val="28"/>
                  <w:highlight w:val="none"/>
                </w:rPr>
                <m:t>Рфо</m:t>
              </m:r>
            </m:num>
          </m:f>
        </m:oMath>
      </m:oMathPara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highlight w:val="none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highlight w:val="none"/>
        </w:rPr>
        <w:t xml:space="preserve">де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  <w:t xml:space="preserve">Р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  <w:vertAlign w:val="subscript"/>
        </w:rPr>
        <w:t xml:space="preserve">фо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  <w:vertAlign w:val="subscript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  <w:t xml:space="preserve">- о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  <w:t xml:space="preserve">бщее количество фактически выполненных командой проекта работ и процессов в проекте за отчётный период (без учёта блоков и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  <w:t xml:space="preserve">подблоков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  <w:br/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  <w:t xml:space="preserve">и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  <w:t xml:space="preserve">подблоков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  <w:t xml:space="preserve">);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  <w:t xml:space="preserve">Р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  <w:vertAlign w:val="subscript"/>
        </w:rPr>
        <w:t xml:space="preserve">по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  <w:vertAlign w:val="subscript"/>
        </w:rPr>
        <w:t xml:space="preserve"> 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  <w:t xml:space="preserve">- о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  <w:t xml:space="preserve">бщее количество запланированных работ и процессов в проекте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  <w:br/>
        <w:t xml:space="preserve">за отчётный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  <w:t xml:space="preserve"> период (без учёта блоков и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  <w:t xml:space="preserve">подблоков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  <w:t xml:space="preserve">).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770"/>
        <w:numPr>
          <w:numId w:val="26"/>
          <w:ilvl w:val="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  <w:t xml:space="preserve">д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  <w:t xml:space="preserve">ля ответственного за блок работ проекта: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b w:val="0"/>
          <w:bCs w:val="0"/>
          <w:i w:val="0"/>
          <w:iCs w:val="0"/>
          <w:highlight w:val="none"/>
        </w:rPr>
      </w:r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 w:eastAsia="Cambria Math" w:cs="Cambria Math"/>
                  <w:b w:val="0"/>
                  <w:i/>
                  <w:sz w:val="28"/>
                  <w:szCs w:val="28"/>
                  <w:highlight w:val="none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none"/>
                </w:rPr>
                <m:t>К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none"/>
                </w:rPr>
                <m:t>в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none"/>
            </w:rPr>
            <m:t>=</m:t>
          </m:r>
          <m:f>
            <m:fPr>
              <m:ctrlPr>
                <w:rPr>
                  <w:rFonts w:ascii="Cambria Math" w:hAnsi="Cambria Math" w:eastAsia="Cambria Math" w:cs="Cambria Math"/>
                  <w:b w:val="0"/>
                  <w:i/>
                  <w:sz w:val="28"/>
                  <w:szCs w:val="28"/>
                  <w:highlight w:val="none"/>
                </w:rPr>
              </m:ctrlPr>
            </m:fPr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none"/>
                </w:rPr>
                <m:t>Бп</m:t>
              </m:r>
            </m:den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none"/>
                </w:rPr>
                <m:t>Бф</m:t>
              </m:r>
            </m:num>
          </m:f>
        </m:oMath>
      </m:oMathPara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ind w:left="709" w:right="0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г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де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Б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  <w:vertAlign w:val="subscript"/>
        </w:rPr>
        <w:t xml:space="preserve">ф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  <w:vertAlign w:val="subscript"/>
        </w:rPr>
        <w:t xml:space="preserve"> 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- 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к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оличество фактических выполненных блоков работ в проекте 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br/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за отчётный период;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Б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  <w:vertAlign w:val="subscript"/>
        </w:rPr>
        <w:t xml:space="preserve">п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  <w:vertAlign w:val="subscript"/>
        </w:rPr>
        <w:t xml:space="preserve"> 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- 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к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оличество запланированных блоков работ в проекте на отчётный период.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770"/>
        <w:numPr>
          <w:numId w:val="27"/>
          <w:ilvl w:val="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д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ля исполнителя проекта: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770"/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i w:val="0"/>
          <w:iCs w:val="0"/>
          <w:highlight w:val="none"/>
        </w:rPr>
      </w:r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 w:eastAsia="Cambria Math" w:cs="Cambria Math"/>
                  <w:i/>
                  <w:sz w:val="28"/>
                  <w:szCs w:val="28"/>
                  <w:highlight w:val="none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none"/>
                </w:rPr>
                <m:t>К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none"/>
                </w:rPr>
                <m:t>в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none"/>
            </w:rPr>
            <m:t>=</m:t>
          </m:r>
          <m:f>
            <m:fPr>
              <m:ctrlPr>
                <w:rPr>
                  <w:rFonts w:ascii="Cambria Math" w:hAnsi="Cambria Math" w:eastAsia="Cambria Math" w:cs="Cambria Math"/>
                  <w:i/>
                  <w:sz w:val="28"/>
                  <w:szCs w:val="28"/>
                  <w:highlight w:val="none"/>
                </w:rPr>
              </m:ctrlPr>
            </m:fPr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none"/>
                </w:rPr>
                <m:t>Р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none"/>
                </w:rPr>
                <m:t>п</m:t>
              </m:r>
            </m:den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none"/>
                </w:rPr>
                <m:t>Р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none"/>
                </w:rPr>
                <m:t>ф</m:t>
              </m:r>
            </m:num>
          </m:f>
        </m:oMath>
      </m:oMathPara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ind w:left="0" w:right="0" w:firstLine="709"/>
        <w:jc w:val="both"/>
        <w:rPr>
          <w:rFonts w:ascii="Times New Roman" w:hAnsi="Times New Roman" w:cs="Times New Roman"/>
          <w:i w:val="0"/>
          <w:sz w:val="28"/>
          <w:szCs w:val="28"/>
          <w:highlight w:val="none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г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де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i w:val="0"/>
          <w:sz w:val="28"/>
          <w:szCs w:val="28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Р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  <w:vertAlign w:val="subscript"/>
        </w:rPr>
        <w:t xml:space="preserve">Ф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  <w:vertAlign w:val="subscript"/>
        </w:rPr>
        <w:t xml:space="preserve"> 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- 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к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оличество фактически выполненных 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исполнителем работ 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br/>
        <w:t xml:space="preserve">и процессов 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в проекте за отчётный период (без учёта блоков и 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подблоков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);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Р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  <w:vertAlign w:val="subscript"/>
        </w:rPr>
        <w:t xml:space="preserve">п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  <w:vertAlign w:val="subscript"/>
        </w:rPr>
        <w:t xml:space="preserve"> 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- 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к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оличество запланированных за исполнителем работ и процессов 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br/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в 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проекте на отчётный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 период (без учёта блоков и 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подблоков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).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Запланированные значения должны соответствовать данным на начало отчётного периода.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2.6. В случае, если сотрудник в одном проекте занимает несколько ролей, то расчёт производится по наивысшей роли.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2.7. Отчётным периодом для расчёта показателя эффективности, суммарного показателя эффективности является календарный год.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2.8. Суммарный показатель эффективности может принимать значения 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br/>
        <w:t xml:space="preserve">от 0 до 10 баллов, при этом значения представляют собой целое число 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br/>
        <w:t xml:space="preserve">с округлением до сотых долей. Чем выше значение суммарного показателя эффективности, тем более качественно (в том числе своевременно, результативно, эффективно) участник проектной деятельности выполняет функции в проекте.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2.9. В случае, если в отчётном периоде сотрудник не принимал участие 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br/>
        <w:t xml:space="preserve">в проектной деятельности, то для него суммарный показатель эффективности принимается равным 0.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  <w:t xml:space="preserve">3. Порядок формирования Рейтинга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3.1. Рейтинг оформляется в виде таблицы, которая содержит следующую информацию: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770"/>
        <w:numPr>
          <w:numId w:val="28"/>
          <w:ilvl w:val="0"/>
        </w:numPr>
        <w:spacing w:after="0" w:line="240" w:lineRule="auto"/>
        <w:ind w:left="0" w:firstLine="34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сведения об участнике проектной деятельности (фамилия, имя, отчество, коэффициент, соответствующий актуальному рангу в области проектного управления, выполняемые проектные роли);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770"/>
        <w:numPr>
          <w:numId w:val="28"/>
          <w:ilvl w:val="0"/>
        </w:numPr>
        <w:spacing w:after="0" w:line="240" w:lineRule="auto"/>
        <w:ind w:left="0" w:firstLine="34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значение показателя эффективности участника проектной деятельности </w:t>
      </w:r>
      <w:r>
        <w:rPr>
          <w:rFonts w:ascii="Times New Roman" w:hAnsi="Times New Roman" w:cs="Times New Roman"/>
          <w:sz w:val="28"/>
          <w:szCs w:val="28"/>
          <w:highlight w:val="none"/>
        </w:rPr>
        <w:br/>
        <w:t xml:space="preserve">за отчётный период;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770"/>
        <w:numPr>
          <w:numId w:val="28"/>
          <w:ilvl w:val="0"/>
        </w:numPr>
        <w:spacing w:after="0" w:line="240" w:lineRule="auto"/>
        <w:ind w:left="0" w:firstLine="34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значение суммарного показателя эффективности участника проектной деятельности за отчётный период;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770"/>
        <w:numPr>
          <w:numId w:val="28"/>
          <w:ilvl w:val="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количество проектов с его участием.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3.2. Рейтинг формируется путём группировки участников проектной деятельности по категориям должностей с последующей сортировкой </w:t>
      </w:r>
      <w:r>
        <w:rPr>
          <w:rFonts w:ascii="Times New Roman" w:hAnsi="Times New Roman" w:cs="Times New Roman"/>
          <w:sz w:val="28"/>
          <w:szCs w:val="28"/>
          <w:highlight w:val="none"/>
        </w:rPr>
        <w:br/>
        <w:t xml:space="preserve">по убыванию значений суммарных показателей эффективности за отчётный период.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3.3. Рейтинг формируется отраслевым проектным офисом ежегодно                     в срок до 10 декабря отчётного периода и направляется за подпис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ью руководителя исполнительного органа,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государственного органа в срок                   до 15 декабря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отчётного периода в департамент проектной деятельности министерства Цифрового развития Белгородской области                                        (далее – региональный проектный офис) по форме согласно приложению                 № 2 к настоящему Порядку.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3.4.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Ведение сводного Рейтинга осуществляет региональный проектный офис.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3.5. Региональный проектный офис вправе в течение 5 рабочих дней                  с даты получения Рейтинга, указанного в пункте 3.3 раздела 3 настоящего Порядка, осуществить как выборочную, так и полную проверку сведений, указанных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в Рейтинге.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  <w:t xml:space="preserve">4. Порядок поощрения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spacing w:after="0" w:line="240" w:lineRule="auto"/>
        <w:ind w:firstLine="709"/>
        <w:contextualSpacing/>
        <w:jc w:val="both"/>
        <w:rPr>
          <w:color w:val="000000" w:themeColor="text1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4.1. Участники проектной деятельности, занявшие первые места </w:t>
      </w:r>
      <w:r>
        <w:rPr>
          <w:rFonts w:ascii="Times New Roman" w:hAnsi="Times New Roman" w:cs="Times New Roman"/>
          <w:sz w:val="28"/>
          <w:szCs w:val="28"/>
          <w:highlight w:val="none"/>
        </w:rPr>
        <w:br/>
        <w:t xml:space="preserve">в соответствующих кате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гориях должностей, могут поощряться корпоративными наградами исполнительных и государственных органов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 (далее – корпоративными наградами). 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spacing w:after="0" w:line="240" w:lineRule="auto"/>
        <w:ind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Награждение корпоративными наградами может быть приурочено                    к итоговому рабочему совещанию, корпоративному, либо иному мероприятию с учас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тием сотрудников исполнительных органов,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государственных органов области.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4.2. В случае выявления региональным проектным офисом несоответствия информации, содержащейся в Рейтинге, награжд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ение победителей производится по результатам по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лного устранения исполнительным органом,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государственным органом области указанных несоответствий.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4.3. 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В случае совпадения суммарных показателей эффективности </w:t>
      </w:r>
      <w:r>
        <w:rPr>
          <w:rFonts w:ascii="Times New Roman" w:hAnsi="Times New Roman" w:cs="Times New Roman"/>
          <w:sz w:val="28"/>
          <w:szCs w:val="28"/>
          <w:highlight w:val="none"/>
        </w:rPr>
        <w:br/>
        <w:t xml:space="preserve">или наличия в какой – либо категории должностей только одного сотрудника решение о п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оощрении принимает руководитель исполнительного органа,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государственного органа области.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4.4. 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Информация о награждении направляется ежегодно отраслевым проектным офисом в срок до 30 декабря отчётного периода в региональный проектный офис.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  <w:t xml:space="preserve">5. Меры ответственности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5.1. В случае нарушения сроков представления Рейтинга,                                     а также представления недостоверной или неполной информации, содержащейся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в Рейтинге, региональный проектный офис вправе обратиться              к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руководителю исполнительного органа,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государственного органа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области, направившему Рейтинг,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с целью принятия мер по устранению выявленных нарушений, а также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с предложением  о применении к лицам, допустившим указанные нарушения, мер ответственности, предусмотренных действующим законодательством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за неисполнение или ненадлежащее исполнение работником по его вине возложенных на него служебных (трудовых) обязанностей.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tbl>
      <w:tblPr>
        <w:tblW w:w="9923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827"/>
        <w:gridCol w:w="425"/>
        <w:gridCol w:w="1947"/>
        <w:gridCol w:w="3724"/>
      </w:tblGrid>
      <w:tr>
        <w:trPr/>
        <w:tblPrEx/>
        <w:tc>
          <w:tcPr>
            <w:tcW w:w="4252" w:type="dxa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Заместитель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Главы округа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руководител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ь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аппарата 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дминистрации Ивнянского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округа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947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372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  <w:p>
            <w:pPr>
              <w:pStyle w:val="93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  <w:p>
            <w:pPr>
              <w:pStyle w:val="930"/>
              <w:spacing w:after="0" w:line="240" w:lineRule="auto"/>
              <w:ind w:right="-105"/>
              <w:contextualSpacing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  <w:p>
            <w:pPr>
              <w:pStyle w:val="930"/>
              <w:spacing w:after="0" w:line="240" w:lineRule="auto"/>
              <w:ind w:right="-105"/>
              <w:contextualSpacing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Н.А. П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озднякова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30"/>
        <w:spacing w:before="0" w:after="0"/>
        <w:jc w:val="right"/>
        <w:rPr>
          <w:rFonts w:ascii="Times New Roman" w:hAnsi="Times New Roman" w:cs="Times New Roman"/>
          <w:b/>
          <w:sz w:val="28"/>
          <w:szCs w:val="28"/>
        </w:rPr>
      </w:pPr>
      <w:permStart w:displacedbyCustomXml="next" w:edGrp="everyone" w:id="undefined"/>
      <w:permStart w:displacedbyCustomXml="next" w:edGrp="everyone" w:id="undefined"/>
      <w:r>
        <w:rPr>
          <w:rFonts w:ascii="Times New Roman" w:hAnsi="Times New Roman" w:cs="Times New Roman"/>
          <w:b/>
          <w:sz w:val="28"/>
          <w:szCs w:val="28"/>
        </w:rPr>
      </w:r>
      <w:permEnd w:displacedbyCustomXml="next" w:id=""/>
      <w:permEnd w:displacedbyCustomXml="next" w:id=""/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930"/>
        <w:spacing w:before="0"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tbl>
      <w:tblPr>
        <w:tblpPr w:horzAnchor="page" w:tblpX="6661" w:vertAnchor="page" w:tblpY="1157" w:leftFromText="180" w:topFromText="0" w:rightFromText="180" w:bottomFromText="0"/>
        <w:tblW w:w="5023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5023"/>
      </w:tblGrid>
      <w:tr>
        <w:trPr>
          <w:trHeight w:val="660"/>
        </w:trPr>
        <w:tblPrEx/>
        <w:tc>
          <w:tcPr>
            <w:tcW w:w="5023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val="ru-RU" w:eastAsia="en-US" w:bidi="ar-SA"/>
              </w:rPr>
              <w:t xml:space="preserve">Приложение № 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val="ru-RU" w:eastAsia="en-US" w:bidi="ar-SA"/>
              </w:rPr>
              <w:t xml:space="preserve">к Порядку ведения рейтинга участников проектной деятельности  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 органах местного самоуправления Ивнянского муниципального округа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</w:tr>
      <w:tr>
        <w:trPr>
          <w:trHeight w:val="340" w:hRule="exact"/>
        </w:trPr>
        <w:tblPrEx/>
        <w:tc>
          <w:tcPr>
            <w:tcW w:w="5023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pStyle w:val="930"/>
              <w:widowControl w:val="off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«____»_____________2026 года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№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_____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</w:tr>
    </w:tbl>
    <w:p>
      <w:pPr>
        <w:pStyle w:val="930"/>
        <w:spacing w:before="0"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930"/>
        <w:spacing w:before="0" w:after="0"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930"/>
        <w:spacing w:before="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sz w:val="28"/>
          <w:szCs w:val="28"/>
        </w:rPr>
      </w:r>
      <w:permStart w:displacedbyCustomXml="next" w:edGrp="everyone" w:id="undefined"/>
      <w:r>
        <w:rPr>
          <w:rFonts w:ascii="Times New Roman" w:hAnsi="Times New Roman" w:cs="Times New Roman"/>
          <w:b/>
          <w:sz w:val="28"/>
          <w:szCs w:val="28"/>
        </w:rPr>
        <w:t xml:space="preserve">Коэффициенты </w:t>
      </w:r>
      <w:r>
        <w:rPr>
          <w:rFonts w:ascii="Times New Roman" w:hAnsi="Times New Roman" w:cs="Times New Roman"/>
          <w:b/>
          <w:sz w:val="28"/>
          <w:szCs w:val="28"/>
        </w:rPr>
        <w:t xml:space="preserve">эффективности</w:t>
      </w:r>
      <w:permEnd w:displacedbyCustomXml="next" w:id=""/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930"/>
        <w:spacing w:before="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930"/>
        <w:spacing w:before="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Весовой коэффициент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930"/>
        <w:spacing w:before="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tbl>
      <w:tblPr>
        <w:tblW w:w="9638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819"/>
        <w:gridCol w:w="4818"/>
      </w:tblGrid>
      <w:tr>
        <w:trPr/>
        <w:tblPrEx/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8"/>
                <w:lang w:val="ru-RU" w:eastAsia="en-US" w:bidi="ar-SA"/>
              </w:rPr>
              <w:t xml:space="preserve">Тип проекта*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</w:p>
        </w:tc>
        <w:tc>
          <w:tcPr>
            <w:tcW w:w="4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8"/>
                <w:lang w:val="ru-RU" w:eastAsia="en-US" w:bidi="ar-SA"/>
              </w:rPr>
              <w:t xml:space="preserve">Весовой коэффициент проекта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</w:p>
        </w:tc>
      </w:tr>
      <w:tr>
        <w:trPr/>
        <w:tblPrEx/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Переходящий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W w:w="4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0,4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rPr/>
        <w:tblPrEx/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Завершённый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W w:w="4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0,6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</w:tr>
    </w:tbl>
    <w:p>
      <w:pPr>
        <w:pStyle w:val="930"/>
        <w:spacing w:before="0"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0"/>
        <w:spacing w:before="0" w:after="0" w:line="240" w:lineRule="auto"/>
        <w:ind w:left="0" w:firstLine="0"/>
        <w:jc w:val="both"/>
        <w:rPr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* В случае участия сотрудника только в переходящих проектах                                  или завершённых проектах значение соответствующего весового коэффициента приравнивается к 1.</w:t>
      </w:r>
      <w:r>
        <w:rPr>
          <w:highlight w:val="none"/>
        </w:rPr>
      </w:r>
      <w:r>
        <w:rPr>
          <w:highlight w:val="none"/>
        </w:rPr>
      </w:r>
    </w:p>
    <w:p>
      <w:pPr>
        <w:pStyle w:val="930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0"/>
        <w:spacing w:before="0"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Коэффициент ранга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930"/>
        <w:spacing w:before="0"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9638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819"/>
        <w:gridCol w:w="4818"/>
      </w:tblGrid>
      <w:tr>
        <w:trPr/>
        <w:tblPrEx/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8"/>
                <w:lang w:val="ru-RU" w:eastAsia="en-US" w:bidi="ar-SA"/>
              </w:rPr>
              <w:t xml:space="preserve">Ранг в области проектного управления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</w:p>
        </w:tc>
        <w:tc>
          <w:tcPr>
            <w:tcW w:w="4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8"/>
                <w:lang w:val="ru-RU" w:eastAsia="en-US" w:bidi="ar-SA"/>
              </w:rPr>
              <w:t xml:space="preserve">Коэффициент ранга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</w:p>
        </w:tc>
      </w:tr>
      <w:tr>
        <w:trPr/>
        <w:tblPrEx/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Менеджер 1 класса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W w:w="4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rPr/>
        <w:tblPrEx/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Менеджер 2 класса</w:t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</w:p>
        </w:tc>
        <w:tc>
          <w:tcPr>
            <w:tcW w:w="4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0,9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rPr/>
        <w:tblPrEx/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Менеджер 3 класса</w:t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</w:p>
        </w:tc>
        <w:tc>
          <w:tcPr>
            <w:tcW w:w="4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0,85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rPr/>
        <w:tblPrEx/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Менеджер 4 класса</w:t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</w:p>
        </w:tc>
        <w:tc>
          <w:tcPr>
            <w:tcW w:w="4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0,8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rPr/>
        <w:tblPrEx/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Специалист 1 класса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W w:w="4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0,65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rPr/>
        <w:tblPrEx/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Специалист 2 класса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W w:w="4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0,6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rPr/>
        <w:tblPrEx/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Специалист 3 класса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W w:w="4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0,55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rPr/>
        <w:tblPrEx/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Специалист 4 класса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W w:w="4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0,5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rPr/>
        <w:tblPrEx/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Отсутствие ранга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W w:w="4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0,45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</w:tr>
    </w:tbl>
    <w:p>
      <w:pPr>
        <w:pStyle w:val="930"/>
        <w:spacing w:before="0"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0"/>
        <w:spacing w:before="0"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Коэффициент сложности проекта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930"/>
        <w:spacing w:before="0"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tbl>
      <w:tblPr>
        <w:tblW w:w="9638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819"/>
        <w:gridCol w:w="4818"/>
      </w:tblGrid>
      <w:tr>
        <w:trPr/>
        <w:tblPrEx/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8"/>
                <w:lang w:val="ru-RU" w:eastAsia="en-US" w:bidi="ar-SA"/>
              </w:rPr>
              <w:t xml:space="preserve">Уровень сложности проекта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</w:p>
        </w:tc>
        <w:tc>
          <w:tcPr>
            <w:tcW w:w="4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8"/>
                <w:lang w:val="ru-RU" w:eastAsia="en-US" w:bidi="ar-SA"/>
              </w:rPr>
              <w:t xml:space="preserve">Коэффициент ранга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</w:p>
        </w:tc>
      </w:tr>
      <w:tr>
        <w:trPr/>
        <w:tblPrEx/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Глобальный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W w:w="4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rPr/>
        <w:tblPrEx/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Высокий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W w:w="4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0,8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rPr/>
        <w:tblPrEx/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Выше среднего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W w:w="4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0,7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rPr/>
        <w:tblPrEx/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Средний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W w:w="4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0,6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rPr/>
        <w:tblPrEx/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Начальный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W w:w="4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0,5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</w:tr>
    </w:tbl>
    <w:p>
      <w:pPr>
        <w:spacing w:before="0" w:after="0" w:line="240" w:lineRule="auto"/>
        <w:ind w:left="0"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930"/>
        <w:spacing w:before="0" w:after="0" w:line="240" w:lineRule="auto"/>
        <w:ind w:left="0"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930"/>
        <w:spacing w:before="0" w:after="0" w:line="240" w:lineRule="auto"/>
        <w:ind w:left="0" w:firstLine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Коэффициент выполнения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930"/>
        <w:spacing w:before="0"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tbl>
      <w:tblPr>
        <w:tblW w:w="9638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819"/>
        <w:gridCol w:w="4818"/>
      </w:tblGrid>
      <w:tr>
        <w:trPr/>
        <w:tblPrEx/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8"/>
                <w:lang w:val="ru-RU" w:eastAsia="en-US" w:bidi="ar-SA"/>
              </w:rPr>
              <w:t xml:space="preserve">Доля своевременно выполненных работ, процессов, блоков работ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</w:p>
        </w:tc>
        <w:tc>
          <w:tcPr>
            <w:tcW w:w="4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8"/>
                <w:lang w:val="ru-RU" w:eastAsia="en-US" w:bidi="ar-SA"/>
              </w:rPr>
              <w:t xml:space="preserve">Коэффициент выполнения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</w:p>
        </w:tc>
      </w:tr>
      <w:tr>
        <w:trPr/>
        <w:tblPrEx/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От 80% до 100%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W w:w="4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rPr/>
        <w:tblPrEx/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От 60% до 80%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W w:w="4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0,8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rPr/>
        <w:tblPrEx/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От 40% до 60%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W w:w="4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0,5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rPr/>
        <w:tblPrEx/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40% и менее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W w:w="4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0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</w:tr>
    </w:tbl>
    <w:p>
      <w:pPr>
        <w:pStyle w:val="930"/>
        <w:spacing w:before="0"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930"/>
        <w:spacing w:before="0"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Коэффициент успешности проекта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930"/>
        <w:spacing w:before="0"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9638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819"/>
        <w:gridCol w:w="4818"/>
      </w:tblGrid>
      <w:tr>
        <w:trPr/>
        <w:tblPrEx/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8"/>
                <w:lang w:val="ru-RU" w:eastAsia="en-US" w:bidi="ar-SA"/>
              </w:rPr>
              <w:t xml:space="preserve">Уровень сложности проекта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</w:p>
        </w:tc>
        <w:tc>
          <w:tcPr>
            <w:tcW w:w="4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8"/>
                <w:lang w:val="ru-RU" w:eastAsia="en-US" w:bidi="ar-SA"/>
              </w:rPr>
              <w:t xml:space="preserve">Коэффициент успешности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</w:p>
        </w:tc>
      </w:tr>
      <w:tr>
        <w:trPr/>
        <w:tblPrEx/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Проект реализован успешно без отклонений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W w:w="4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rPr/>
        <w:tblPrEx/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Проект реализован успешно с незначительными отклонениями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W w:w="4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0,9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rPr/>
        <w:tblPrEx/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Проект реализован успешно со значительными отклонениями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W w:w="4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0,8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rPr/>
        <w:tblPrEx/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highlight w:val="none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Проект не реализован, ресурсы не использованы</w:t>
            </w: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highlight w:val="none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highlight w:val="none"/>
                <w:lang w:val="ru-RU" w:eastAsia="en-US" w:bidi="ar-SA"/>
              </w:rPr>
            </w:r>
          </w:p>
        </w:tc>
        <w:tc>
          <w:tcPr>
            <w:tcW w:w="48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0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rPr/>
        <w:tblPrEx/>
        <w:tc>
          <w:tcPr>
            <w:tcW w:w="48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8"/>
                <w:szCs w:val="28"/>
                <w:lang w:val="ru-RU" w:eastAsia="en-US" w:bidi="ar-SA"/>
              </w:rPr>
              <w:t xml:space="preserve">Проект не реализован, ресурсы использованы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W w:w="48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8"/>
                <w:lang w:val="ru-RU" w:eastAsia="en-US" w:bidi="ar-SA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</w:p>
        </w:tc>
      </w:tr>
    </w:tbl>
    <w:p>
      <w:pPr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0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9923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827"/>
        <w:gridCol w:w="425"/>
        <w:gridCol w:w="1947"/>
        <w:gridCol w:w="3724"/>
      </w:tblGrid>
      <w:tr>
        <w:trPr/>
        <w:tblPrEx/>
        <w:tc>
          <w:tcPr>
            <w:tcW w:w="4252" w:type="dxa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Заместитель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Главы округа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руководител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ь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аппарата 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дминистрации Ивнянского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округа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947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372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  <w:p>
            <w:pPr>
              <w:pStyle w:val="93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  <w:p>
            <w:pPr>
              <w:pStyle w:val="930"/>
              <w:spacing w:after="0" w:line="240" w:lineRule="auto"/>
              <w:ind w:right="-105"/>
              <w:contextualSpacing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  <w:p>
            <w:pPr>
              <w:pStyle w:val="930"/>
              <w:spacing w:after="0" w:line="240" w:lineRule="auto"/>
              <w:ind w:right="-105"/>
              <w:contextualSpacing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Н.А. П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озднякова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tabs>
          <w:tab w:val="left" w:pos="3119" w:leader="none"/>
        </w:tabs>
        <w:spacing w:after="0" w:line="240" w:lineRule="auto"/>
        <w:contextualSpacing/>
        <w:jc w:val="lef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r>
        <w:br w:type="page" w:clear="all"/>
      </w:r>
    </w:p>
    <w:p>
      <w:pPr>
        <w:pStyle w:val="93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567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tbl>
      <w:tblPr>
        <w:tblpPr w:horzAnchor="page" w:tblpX="11296" w:vertAnchor="page" w:tblpY="812" w:leftFromText="180" w:topFromText="0" w:rightFromText="180" w:bottomFromText="0"/>
        <w:tblW w:w="5023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5023"/>
      </w:tblGrid>
      <w:tr>
        <w:trPr>
          <w:trHeight w:val="660"/>
        </w:trPr>
        <w:tblPrEx/>
        <w:tc>
          <w:tcPr>
            <w:tcW w:w="5023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val="ru-RU" w:eastAsia="en-US" w:bidi="ar-SA"/>
              </w:rPr>
              <w:t xml:space="preserve">Приложение № 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  <w:p>
            <w:pPr>
              <w:pStyle w:val="930"/>
              <w:widowControl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val="ru-RU" w:eastAsia="en-US" w:bidi="ar-SA"/>
              </w:rPr>
              <w:t xml:space="preserve">к Порядку ведения рейтинга участников проектной деятельности  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 органах местного самоуправления Ивнянского муниципального округа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</w:tr>
      <w:tr>
        <w:trPr>
          <w:trHeight w:val="340" w:hRule="exact"/>
        </w:trPr>
        <w:tblPrEx/>
        <w:tc>
          <w:tcPr>
            <w:tcW w:w="5023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pStyle w:val="930"/>
              <w:widowControl w:val="off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«____»_____________2026 года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№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_____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spacing w:before="0"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sz w:val="28"/>
          <w:szCs w:val="28"/>
          <w:highlight w:val="none"/>
        </w:rPr>
      </w:r>
    </w:p>
    <w:p>
      <w:pPr>
        <w:pStyle w:val="930"/>
        <w:spacing w:before="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Рейтинг участников проектной деятельности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pStyle w:val="930"/>
        <w:spacing w:before="0"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pStyle w:val="930"/>
        <w:spacing w:before="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vertAlign w:val="subscript"/>
        </w:rPr>
        <w:t xml:space="preserve">__________________________________________________________________________________________________</w:t>
        <w:br/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(наименование исполнительного/государственного органа области)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930"/>
        <w:spacing w:before="0"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 20___ год.</w:t>
      </w:r>
      <w:r>
        <w:rPr>
          <w:rFonts w:ascii="Times New Roman" w:hAnsi="Times New Roman" w:cs="Times New Roman"/>
          <w:b/>
          <w:bCs/>
          <w:sz w:val="26"/>
          <w:szCs w:val="26"/>
          <w:vertAlign w:val="subscript"/>
        </w:rPr>
      </w:r>
      <w:r>
        <w:rPr>
          <w:rFonts w:ascii="Times New Roman" w:hAnsi="Times New Roman" w:cs="Times New Roman"/>
          <w:b/>
          <w:bCs/>
          <w:sz w:val="26"/>
          <w:szCs w:val="26"/>
          <w:vertAlign w:val="subscript"/>
        </w:rPr>
      </w:r>
    </w:p>
    <w:p>
      <w:pPr>
        <w:pStyle w:val="930"/>
        <w:spacing w:before="0" w:after="0" w:line="240" w:lineRule="auto"/>
        <w:rPr>
          <w:rFonts w:ascii="Times New Roman" w:hAnsi="Times New Roman" w:cs="Times New Roman"/>
          <w:b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b/>
          <w:bCs/>
          <w:sz w:val="26"/>
          <w:szCs w:val="26"/>
          <w:vertAlign w:val="subscript"/>
        </w:rPr>
      </w:r>
      <w:r>
        <w:rPr>
          <w:rFonts w:ascii="Times New Roman" w:hAnsi="Times New Roman" w:cs="Times New Roman"/>
          <w:b/>
          <w:bCs/>
          <w:sz w:val="26"/>
          <w:szCs w:val="26"/>
          <w:vertAlign w:val="subscript"/>
        </w:rPr>
      </w:r>
      <w:r>
        <w:rPr>
          <w:rFonts w:ascii="Times New Roman" w:hAnsi="Times New Roman" w:cs="Times New Roman"/>
          <w:b/>
          <w:bCs/>
          <w:sz w:val="26"/>
          <w:szCs w:val="26"/>
          <w:vertAlign w:val="subscript"/>
        </w:rPr>
      </w:r>
    </w:p>
    <w:tbl>
      <w:tblPr>
        <w:tblW w:w="0" w:type="auto"/>
        <w:tblInd w:w="-432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963"/>
        <w:gridCol w:w="1963"/>
        <w:gridCol w:w="1963"/>
        <w:gridCol w:w="1963"/>
        <w:gridCol w:w="1963"/>
        <w:gridCol w:w="1963"/>
        <w:gridCol w:w="1963"/>
        <w:gridCol w:w="2051"/>
      </w:tblGrid>
      <w:tr>
        <w:trPr/>
        <w:tblPrEx/>
        <w:tc>
          <w:tcPr>
            <w:tcW w:w="19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ФИО, должность</w:t>
            </w:r>
          </w:p>
        </w:tc>
        <w:tc>
          <w:tcPr>
            <w:tcW w:w="19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ранга</w:t>
            </w:r>
          </w:p>
        </w:tc>
        <w:tc>
          <w:tcPr>
            <w:tcW w:w="58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Переходящие проекты</w:t>
            </w:r>
          </w:p>
        </w:tc>
        <w:tc>
          <w:tcPr>
            <w:tcW w:w="3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Завершённые проекты</w:t>
            </w:r>
          </w:p>
        </w:tc>
        <w:tc>
          <w:tcPr>
            <w:tcW w:w="20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Суммарный показатель эффективности</w:t>
            </w:r>
          </w:p>
        </w:tc>
      </w:tr>
      <w:tr>
        <w:trPr/>
        <w:tblPrEx/>
        <w:tc>
          <w:tcPr>
            <w:tcW w:w="19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Наивысшая роль в проекте*</w:t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сложности проекта</w:t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выполнения</w:t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сложности</w:t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успешности</w:t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1579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Категория должности</w:t>
            </w:r>
          </w:p>
        </w:tc>
      </w:tr>
      <w:tr>
        <w:trPr>
          <w:trHeight w:val="322"/>
        </w:trPr>
        <w:tblPrEx/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22"/>
        </w:trPr>
        <w:tblPrEx/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1</w:t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22"/>
        </w:trPr>
        <w:tblPrEx/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.....</w:t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22"/>
        </w:trPr>
        <w:tblPrEx/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n</w:t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Style w:val="930"/>
        <w:spacing w:before="0" w:after="0" w:line="240" w:lineRule="auto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930"/>
        <w:spacing w:before="0" w:after="0" w:line="240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*В случае совмещения ролей расчёт производится по наивысшей рол</w:t>
      </w: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tbl>
      <w:tblPr>
        <w:tblW w:w="15449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252"/>
        <w:gridCol w:w="1947"/>
        <w:gridCol w:w="9250"/>
      </w:tblGrid>
      <w:tr>
        <w:trPr/>
        <w:tblPrEx/>
        <w:tc>
          <w:tcPr>
            <w:tcW w:w="425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Заместитель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Главы округа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руководител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ь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аппарата 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дминистрации Ивнянского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округа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947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925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  <w:p>
            <w:pPr>
              <w:pStyle w:val="93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  <w:p>
            <w:pPr>
              <w:pStyle w:val="930"/>
              <w:spacing w:after="0" w:line="240" w:lineRule="auto"/>
              <w:ind w:right="-105"/>
              <w:contextualSpacing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  <w:p>
            <w:pPr>
              <w:pStyle w:val="930"/>
              <w:spacing w:after="0" w:line="240" w:lineRule="auto"/>
              <w:ind w:right="-105"/>
              <w:contextualSpacing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Н.А. П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озднякова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</w:tr>
    </w:tbl>
    <w:p>
      <w:pPr>
        <w:pStyle w:val="930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  <w:sectPr>
          <w:headerReference w:type="default" r:id="rId10"/>
          <w:headerReference w:type="first" r:id="rId11"/>
          <w:footnotePr/>
          <w:endnotePr/>
          <w:type w:val="nextPage"/>
          <w:pgSz w:w="16838" w:h="11906" w:orient="landscape"/>
          <w:pgMar w:top="1701" w:right="1134" w:bottom="567" w:left="1134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Лист № 1 из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лист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pStyle w:val="930"/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ЛИСТ СОГЛАСОВАНИЯ</w:t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/>
          <w:b/>
          <w:bCs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</w:rPr>
      </w:r>
      <w:r>
        <w:rPr>
          <w:rFonts w:ascii="Times New Roman" w:hAnsi="Times New Roman" w:eastAsia="Times New Roman"/>
          <w:b/>
          <w:bCs/>
          <w:sz w:val="28"/>
          <w:szCs w:val="28"/>
        </w:rPr>
      </w:r>
    </w:p>
    <w:p>
      <w:pPr>
        <w:pStyle w:val="930"/>
        <w:spacing w:after="0" w:line="240" w:lineRule="auto"/>
        <w:jc w:val="center"/>
        <w:rPr>
          <w:rFonts w:ascii="Times New Roman" w:hAnsi="Times New Roman" w:eastAsia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 проекта постановления</w:t>
      </w:r>
      <w:r>
        <w:rPr>
          <w:rFonts w:ascii="Times New Roman" w:hAnsi="Times New Roman" w:eastAsia="Times New Roman"/>
          <w:b/>
          <w:bCs/>
          <w:sz w:val="28"/>
          <w:szCs w:val="28"/>
          <w:highlight w:val="none"/>
        </w:rPr>
      </w:r>
    </w:p>
    <w:p>
      <w:pPr>
        <w:pStyle w:val="930"/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администрации Ивнянского муниципального округа </w:t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pStyle w:val="930"/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Белгородской 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области</w:t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pStyle w:val="930"/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pStyle w:val="953"/>
        <w:spacing w:line="240" w:lineRule="auto"/>
        <w:ind w:right="-87"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  <w:t xml:space="preserve">О рейтинге участников проектной деятельности</w:t>
      </w: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</w:rPr>
      </w:r>
    </w:p>
    <w:p>
      <w:pPr>
        <w:pStyle w:val="930"/>
        <w:spacing w:after="12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930"/>
        <w:spacing w:after="120" w:line="240" w:lineRule="auto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Документу присвоен № ______________от _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____________________202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6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г.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spacing w:after="12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spacing w:after="12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930"/>
        <w:spacing w:after="0" w:line="240" w:lineRule="auto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Подготовлено:</w:t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pStyle w:val="930"/>
        <w:spacing w:after="0" w:line="240" w:lineRule="auto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tbl>
      <w:tblPr>
        <w:tblW w:w="10031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35"/>
        <w:gridCol w:w="1844"/>
        <w:gridCol w:w="2552"/>
      </w:tblGrid>
      <w:tr>
        <w:trPr>
          <w:trHeight w:val="833"/>
        </w:trPr>
        <w:tblPrEx/>
        <w:tc>
          <w:tcPr>
            <w:tcW w:w="5635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Отдел координации проектной деятельности аппарата Администрации Ивнянского муниципального округа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tcW w:w="184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tcW w:w="255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930"/>
              <w:spacing w:after="0" w:line="240" w:lineRule="auto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930"/>
              <w:spacing w:after="0" w:line="240" w:lineRule="auto"/>
              <w:ind w:right="-108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    С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.В. Мельникова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</w:tr>
    </w:tbl>
    <w:p>
      <w:pPr>
        <w:pStyle w:val="930"/>
        <w:spacing w:after="0" w:line="240" w:lineRule="auto"/>
        <w:ind w:left="284" w:hanging="284"/>
        <w:jc w:val="center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930"/>
        <w:spacing w:after="0" w:line="240" w:lineRule="auto"/>
        <w:ind w:left="284" w:hanging="284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Согласовано:</w:t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pStyle w:val="930"/>
        <w:spacing w:after="0" w:line="240" w:lineRule="auto"/>
        <w:ind w:left="284" w:hanging="284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tbl>
      <w:tblPr>
        <w:tblW w:w="10031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35"/>
        <w:gridCol w:w="1844"/>
        <w:gridCol w:w="2552"/>
      </w:tblGrid>
      <w:tr>
        <w:trPr/>
        <w:tblPrEx/>
        <w:tc>
          <w:tcPr>
            <w:tcW w:w="5635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contextualSpacing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Заместитель Главы округа - руководитель аппарата Ад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министрации Ивнянского муниципального округа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930"/>
              <w:spacing w:after="0" w:line="240" w:lineRule="auto"/>
              <w:contextualSpacing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tcW w:w="184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contextualSpacing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tcW w:w="255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930"/>
              <w:spacing w:after="0" w:line="240" w:lineRule="auto"/>
              <w:ind w:right="-108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930"/>
              <w:spacing w:after="0" w:line="240" w:lineRule="auto"/>
              <w:ind w:right="-108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   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Н.А. Позднякова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5635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contextualSpacing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Юридический отдел Администрации Ивнянского муниципального округа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tcW w:w="184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tcW w:w="255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br w:type="textWrapping" w:clear="all"/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С.И. Солощенко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930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5635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ind w:hanging="105"/>
              <w:contextualSpacing/>
              <w:rPr>
                <w:rFonts w:ascii="Times New Roman" w:hAnsi="Times New Roman" w:eastAsia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t xml:space="preserve">Проверено: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</w:p>
          <w:p>
            <w:pPr>
              <w:pStyle w:val="930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930"/>
              <w:spacing w:after="0" w:line="240" w:lineRule="auto"/>
              <w:contextualSpacing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Отдел делопроизводства и приёма граждан аппарата Администрации Ивнянского муниципального округа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tcW w:w="184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tcW w:w="255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30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930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930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930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930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   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Н.Н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Рахим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930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930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930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930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Лист согласования оформил: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930"/>
        <w:spacing w:after="0" w:line="240" w:lineRule="auto"/>
        <w:jc w:val="both"/>
        <w:rPr>
          <w:rFonts w:ascii="Times New Roman" w:hAnsi="Times New Roman" w:eastAsia="Times New Roman"/>
          <w:i/>
          <w:sz w:val="28"/>
          <w:szCs w:val="28"/>
          <w:u w:val="single"/>
        </w:rPr>
      </w:pP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  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Мельникова Светлана Васильевна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, 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19 января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 202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6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 года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, 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тел.5-57-08 (доб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. 174)  </w:t>
      </w:r>
      <w:r>
        <w:rPr>
          <w:rFonts w:ascii="Times New Roman" w:hAnsi="Times New Roman" w:eastAsia="Times New Roman"/>
          <w:i/>
          <w:sz w:val="28"/>
          <w:szCs w:val="28"/>
          <w:u w:val="single"/>
        </w:rPr>
      </w:r>
      <w:r>
        <w:rPr>
          <w:rFonts w:ascii="Times New Roman" w:hAnsi="Times New Roman" w:eastAsia="Times New Roman"/>
          <w:i/>
          <w:sz w:val="28"/>
          <w:szCs w:val="28"/>
          <w:u w:val="single"/>
        </w:rPr>
      </w:r>
    </w:p>
    <w:p>
      <w:pPr>
        <w:pStyle w:val="930"/>
        <w:spacing w:after="0" w:line="240" w:lineRule="auto"/>
        <w:jc w:val="center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Подпись, фамилия, имя, отчество, дата, рабочий телефон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Symbol">
    <w:panose1 w:val="05010000000000000000"/>
  </w:font>
  <w:font w:name="Wingdings">
    <w:panose1 w:val="05010000000000000000"/>
  </w:font>
  <w:font w:name="Cambria">
    <w:panose1 w:val="02040503050406030204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Arial Narrow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3</w:t>
    </w:r>
    <w:r>
      <w:fldChar w:fldCharType="end"/>
    </w:r>
  </w:p>
  <w:p>
    <w:pPr>
      <w:pStyle w:val="942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2"/>
      <w:jc w:val="center"/>
    </w:pPr>
    <w:r>
      <w:t xml:space="preserve">2</w:t>
    </w:r>
  </w:p>
  <w:p>
    <w:pPr>
      <w:pStyle w:val="942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2"/>
      <w:jc w:val="center"/>
    </w:pPr>
    <w:r>
      <w:t xml:space="preserve">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9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1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3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5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7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99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1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3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55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isLgl w:val="false"/>
      <w:suff w:val="tab"/>
      <w:lvlText w:val=""/>
      <w:lvlJc w:val="left"/>
      <w:pPr/>
    </w:lvl>
    <w:lvl w:ilvl="2">
      <w:start w:val="0"/>
      <w:numFmt w:val="decimal"/>
      <w:isLgl w:val="false"/>
      <w:suff w:val="tab"/>
      <w:lvlText w:val=""/>
      <w:lvlJc w:val="left"/>
      <w:pPr/>
    </w:lvl>
    <w:lvl w:ilvl="3">
      <w:start w:val="0"/>
      <w:numFmt w:val="decimal"/>
      <w:isLgl w:val="false"/>
      <w:suff w:val="tab"/>
      <w:lvlText w:val=""/>
      <w:lvlJc w:val="left"/>
      <w:pPr/>
    </w:lvl>
    <w:lvl w:ilvl="4">
      <w:start w:val="0"/>
      <w:numFmt w:val="decimal"/>
      <w:isLgl w:val="false"/>
      <w:suff w:val="tab"/>
      <w:lvlText w:val=""/>
      <w:lvlJc w:val="left"/>
      <w:pPr/>
    </w:lvl>
    <w:lvl w:ilvl="5">
      <w:start w:val="0"/>
      <w:numFmt w:val="decimal"/>
      <w:isLgl w:val="false"/>
      <w:suff w:val="tab"/>
      <w:lvlText w:val=""/>
      <w:lvlJc w:val="left"/>
      <w:pPr/>
    </w:lvl>
    <w:lvl w:ilvl="6">
      <w:start w:val="0"/>
      <w:numFmt w:val="decimal"/>
      <w:isLgl w:val="false"/>
      <w:suff w:val="tab"/>
      <w:lvlText w:val=""/>
      <w:lvlJc w:val="left"/>
      <w:pPr/>
    </w:lvl>
    <w:lvl w:ilvl="7">
      <w:start w:val="0"/>
      <w:numFmt w:val="decimal"/>
      <w:isLgl w:val="false"/>
      <w:suff w:val="tab"/>
      <w:lvlText w:val=""/>
      <w:lvlJc w:val="left"/>
      <w:pPr/>
    </w:lvl>
    <w:lvl w:ilvl="8">
      <w:start w:val="0"/>
      <w:numFmt w:val="decimal"/>
      <w:isLgl w:val="false"/>
      <w:suff w:val="tab"/>
      <w:lvlText w:val=""/>
      <w:lvlJc w:val="left"/>
      <w:pPr/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3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95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701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421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141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861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81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301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021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41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461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701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421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141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861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81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301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021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41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461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58" w:hanging="281"/>
        <w:jc w:val="right"/>
      </w:pPr>
      <w:rPr>
        <w:rFonts w:hint="default"/>
        <w:spacing w:val="-1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80" w:hanging="624"/>
        <w:jc w:val="left"/>
      </w:pPr>
      <w:rPr>
        <w:rFonts w:hint="default"/>
        <w:spacing w:val="0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4260" w:hanging="624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4949" w:hanging="624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5639" w:hanging="624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6329" w:hanging="624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7019" w:hanging="624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709" w:hanging="624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399" w:hanging="624"/>
      </w:pPr>
      <w:rPr>
        <w:rFonts w:hint="default"/>
        <w:lang w:val="ru-RU" w:eastAsia="en-US" w:bidi="ar-SA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96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568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640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712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784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856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928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1000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10727" w:hanging="180"/>
      </w:pPr>
    </w:lvl>
  </w:abstractNum>
  <w:abstractNum w:abstractNumId="22">
    <w:multiLevelType w:val="hybridMultilevel"/>
    <w:lvl w:ilvl="0">
      <w:start w:val="0"/>
      <w:numFmt w:val="bullet"/>
      <w:isLgl w:val="false"/>
      <w:suff w:val="tab"/>
      <w:lvlText w:val="—"/>
      <w:lvlJc w:val="left"/>
      <w:pPr>
        <w:ind w:left="71" w:hanging="357"/>
      </w:pPr>
      <w:rPr>
        <w:rFonts w:hint="default" w:ascii="Times New Roman" w:hAnsi="Times New Roman" w:eastAsia="Times New Roman" w:cs="Times New Roman"/>
        <w:spacing w:val="0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1049" w:hanging="357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2019" w:hanging="357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2989" w:hanging="357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3959" w:hanging="357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4929" w:hanging="357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5899" w:hanging="357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6869" w:hanging="357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7839" w:hanging="357"/>
      </w:pPr>
      <w:rPr>
        <w:rFonts w:hint="default"/>
        <w:lang w:val="ru-RU" w:eastAsia="en-US" w:bidi="ar-SA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58" w:hanging="281"/>
        <w:jc w:val="right"/>
      </w:pPr>
      <w:rPr>
        <w:rFonts w:hint="default"/>
        <w:spacing w:val="-1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80" w:hanging="624"/>
        <w:jc w:val="left"/>
      </w:pPr>
      <w:rPr>
        <w:rFonts w:hint="default"/>
        <w:spacing w:val="0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4260" w:hanging="624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4949" w:hanging="624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5639" w:hanging="624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6329" w:hanging="624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7019" w:hanging="624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709" w:hanging="624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399" w:hanging="624"/>
      </w:pPr>
      <w:rPr>
        <w:rFonts w:hint="default"/>
        <w:lang w:val="ru-RU" w:eastAsia="en-US" w:bidi="ar-SA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tabs>
          <w:tab w:val="num" w:pos="0" w:leader="none"/>
        </w:tabs>
        <w:ind w:left="709" w:hanging="360"/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tabs>
          <w:tab w:val="num" w:pos="0" w:leader="none"/>
        </w:tabs>
        <w:ind w:left="142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tabs>
          <w:tab w:val="num" w:pos="0" w:leader="none"/>
        </w:tabs>
        <w:ind w:left="2149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tabs>
          <w:tab w:val="num" w:pos="0" w:leader="none"/>
        </w:tabs>
        <w:ind w:left="2869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tabs>
          <w:tab w:val="num" w:pos="0" w:leader="none"/>
        </w:tabs>
        <w:ind w:left="358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tabs>
          <w:tab w:val="num" w:pos="0" w:leader="none"/>
        </w:tabs>
        <w:ind w:left="4309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tabs>
          <w:tab w:val="num" w:pos="0" w:leader="none"/>
        </w:tabs>
        <w:ind w:left="5029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tabs>
          <w:tab w:val="num" w:pos="0" w:leader="none"/>
        </w:tabs>
        <w:ind w:left="574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tabs>
          <w:tab w:val="num" w:pos="0" w:leader="none"/>
        </w:tabs>
        <w:ind w:left="6469" w:hanging="360"/>
      </w:pPr>
      <w:rPr>
        <w:rFonts w:hint="default" w:ascii="Wingdings" w:hAnsi="Wingdings" w:cs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tabs>
          <w:tab w:val="num" w:pos="0" w:leader="none"/>
        </w:tabs>
        <w:ind w:left="709" w:hanging="360"/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tabs>
          <w:tab w:val="num" w:pos="0" w:leader="none"/>
        </w:tabs>
        <w:ind w:left="142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tabs>
          <w:tab w:val="num" w:pos="0" w:leader="none"/>
        </w:tabs>
        <w:ind w:left="2149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tabs>
          <w:tab w:val="num" w:pos="0" w:leader="none"/>
        </w:tabs>
        <w:ind w:left="2869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tabs>
          <w:tab w:val="num" w:pos="0" w:leader="none"/>
        </w:tabs>
        <w:ind w:left="358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tabs>
          <w:tab w:val="num" w:pos="0" w:leader="none"/>
        </w:tabs>
        <w:ind w:left="4309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tabs>
          <w:tab w:val="num" w:pos="0" w:leader="none"/>
        </w:tabs>
        <w:ind w:left="5029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tabs>
          <w:tab w:val="num" w:pos="0" w:leader="none"/>
        </w:tabs>
        <w:ind w:left="574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tabs>
          <w:tab w:val="num" w:pos="0" w:leader="none"/>
        </w:tabs>
        <w:ind w:left="6469" w:hanging="360"/>
      </w:pPr>
      <w:rPr>
        <w:rFonts w:hint="default" w:ascii="Wingdings" w:hAnsi="Wingdings" w:cs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tabs>
          <w:tab w:val="num" w:pos="0" w:leader="none"/>
        </w:tabs>
        <w:ind w:left="709" w:hanging="360"/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tabs>
          <w:tab w:val="num" w:pos="0" w:leader="none"/>
        </w:tabs>
        <w:ind w:left="142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tabs>
          <w:tab w:val="num" w:pos="0" w:leader="none"/>
        </w:tabs>
        <w:ind w:left="2149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tabs>
          <w:tab w:val="num" w:pos="0" w:leader="none"/>
        </w:tabs>
        <w:ind w:left="2869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tabs>
          <w:tab w:val="num" w:pos="0" w:leader="none"/>
        </w:tabs>
        <w:ind w:left="358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tabs>
          <w:tab w:val="num" w:pos="0" w:leader="none"/>
        </w:tabs>
        <w:ind w:left="4309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tabs>
          <w:tab w:val="num" w:pos="0" w:leader="none"/>
        </w:tabs>
        <w:ind w:left="5029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tabs>
          <w:tab w:val="num" w:pos="0" w:leader="none"/>
        </w:tabs>
        <w:ind w:left="574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tabs>
          <w:tab w:val="num" w:pos="0" w:leader="none"/>
        </w:tabs>
        <w:ind w:left="6469" w:hanging="360"/>
      </w:pPr>
      <w:rPr>
        <w:rFonts w:hint="default" w:ascii="Wingdings" w:hAnsi="Wingdings" w:cs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tabs>
          <w:tab w:val="num" w:pos="0" w:leader="none"/>
        </w:tabs>
        <w:ind w:left="709" w:hanging="360"/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tabs>
          <w:tab w:val="num" w:pos="0" w:leader="none"/>
        </w:tabs>
        <w:ind w:left="142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tabs>
          <w:tab w:val="num" w:pos="0" w:leader="none"/>
        </w:tabs>
        <w:ind w:left="2149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tabs>
          <w:tab w:val="num" w:pos="0" w:leader="none"/>
        </w:tabs>
        <w:ind w:left="2869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tabs>
          <w:tab w:val="num" w:pos="0" w:leader="none"/>
        </w:tabs>
        <w:ind w:left="358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tabs>
          <w:tab w:val="num" w:pos="0" w:leader="none"/>
        </w:tabs>
        <w:ind w:left="4309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tabs>
          <w:tab w:val="num" w:pos="0" w:leader="none"/>
        </w:tabs>
        <w:ind w:left="5029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tabs>
          <w:tab w:val="num" w:pos="0" w:leader="none"/>
        </w:tabs>
        <w:ind w:left="574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tabs>
          <w:tab w:val="num" w:pos="0" w:leader="none"/>
        </w:tabs>
        <w:ind w:left="6469" w:hanging="360"/>
      </w:pPr>
      <w:rPr>
        <w:rFonts w:hint="default" w:ascii="Wingdings" w:hAnsi="Wingdings" w:cs="Wingdings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2">
    <w:name w:val="Heading 1"/>
    <w:basedOn w:val="930"/>
    <w:next w:val="930"/>
    <w:link w:val="753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53">
    <w:name w:val="Heading 1 Char"/>
    <w:link w:val="752"/>
    <w:uiPriority w:val="9"/>
    <w:rPr>
      <w:rFonts w:ascii="Arial" w:hAnsi="Arial" w:eastAsia="Arial" w:cs="Arial"/>
      <w:sz w:val="40"/>
      <w:szCs w:val="40"/>
    </w:rPr>
  </w:style>
  <w:style w:type="paragraph" w:styleId="754">
    <w:name w:val="Heading 2"/>
    <w:basedOn w:val="930"/>
    <w:next w:val="930"/>
    <w:link w:val="755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55">
    <w:name w:val="Heading 2 Char"/>
    <w:link w:val="754"/>
    <w:uiPriority w:val="9"/>
    <w:rPr>
      <w:rFonts w:ascii="Arial" w:hAnsi="Arial" w:eastAsia="Arial" w:cs="Arial"/>
      <w:sz w:val="34"/>
    </w:rPr>
  </w:style>
  <w:style w:type="paragraph" w:styleId="756">
    <w:name w:val="Heading 3"/>
    <w:basedOn w:val="930"/>
    <w:next w:val="930"/>
    <w:link w:val="757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57">
    <w:name w:val="Heading 3 Char"/>
    <w:link w:val="756"/>
    <w:uiPriority w:val="9"/>
    <w:rPr>
      <w:rFonts w:ascii="Arial" w:hAnsi="Arial" w:eastAsia="Arial" w:cs="Arial"/>
      <w:sz w:val="30"/>
      <w:szCs w:val="30"/>
    </w:rPr>
  </w:style>
  <w:style w:type="paragraph" w:styleId="758">
    <w:name w:val="Heading 4"/>
    <w:basedOn w:val="930"/>
    <w:next w:val="930"/>
    <w:link w:val="759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9">
    <w:name w:val="Heading 4 Char"/>
    <w:link w:val="758"/>
    <w:uiPriority w:val="9"/>
    <w:rPr>
      <w:rFonts w:ascii="Arial" w:hAnsi="Arial" w:eastAsia="Arial" w:cs="Arial"/>
      <w:b/>
      <w:bCs/>
      <w:sz w:val="26"/>
      <w:szCs w:val="26"/>
    </w:rPr>
  </w:style>
  <w:style w:type="paragraph" w:styleId="760">
    <w:name w:val="Heading 5"/>
    <w:basedOn w:val="930"/>
    <w:next w:val="930"/>
    <w:link w:val="761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1">
    <w:name w:val="Heading 5 Char"/>
    <w:link w:val="760"/>
    <w:uiPriority w:val="9"/>
    <w:rPr>
      <w:rFonts w:ascii="Arial" w:hAnsi="Arial" w:eastAsia="Arial" w:cs="Arial"/>
      <w:b/>
      <w:bCs/>
      <w:sz w:val="24"/>
      <w:szCs w:val="24"/>
    </w:rPr>
  </w:style>
  <w:style w:type="paragraph" w:styleId="762">
    <w:name w:val="Heading 6"/>
    <w:basedOn w:val="930"/>
    <w:next w:val="930"/>
    <w:link w:val="763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3">
    <w:name w:val="Heading 6 Char"/>
    <w:link w:val="762"/>
    <w:uiPriority w:val="9"/>
    <w:rPr>
      <w:rFonts w:ascii="Arial" w:hAnsi="Arial" w:eastAsia="Arial" w:cs="Arial"/>
      <w:b/>
      <w:bCs/>
      <w:sz w:val="22"/>
      <w:szCs w:val="22"/>
    </w:rPr>
  </w:style>
  <w:style w:type="paragraph" w:styleId="764">
    <w:name w:val="Heading 7"/>
    <w:basedOn w:val="930"/>
    <w:next w:val="930"/>
    <w:link w:val="765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5">
    <w:name w:val="Heading 7 Char"/>
    <w:link w:val="76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6">
    <w:name w:val="Heading 8"/>
    <w:basedOn w:val="930"/>
    <w:next w:val="930"/>
    <w:link w:val="767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7">
    <w:name w:val="Heading 8 Char"/>
    <w:link w:val="766"/>
    <w:uiPriority w:val="9"/>
    <w:rPr>
      <w:rFonts w:ascii="Arial" w:hAnsi="Arial" w:eastAsia="Arial" w:cs="Arial"/>
      <w:i/>
      <w:iCs/>
      <w:sz w:val="22"/>
      <w:szCs w:val="22"/>
    </w:rPr>
  </w:style>
  <w:style w:type="paragraph" w:styleId="768">
    <w:name w:val="Heading 9"/>
    <w:basedOn w:val="930"/>
    <w:next w:val="930"/>
    <w:link w:val="769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9">
    <w:name w:val="Heading 9 Char"/>
    <w:link w:val="768"/>
    <w:uiPriority w:val="9"/>
    <w:rPr>
      <w:rFonts w:ascii="Arial" w:hAnsi="Arial" w:eastAsia="Arial" w:cs="Arial"/>
      <w:i/>
      <w:iCs/>
      <w:sz w:val="21"/>
      <w:szCs w:val="21"/>
    </w:rPr>
  </w:style>
  <w:style w:type="paragraph" w:styleId="770">
    <w:name w:val="List Paragraph"/>
    <w:basedOn w:val="930"/>
    <w:uiPriority w:val="34"/>
    <w:qFormat/>
    <w:pPr>
      <w:ind w:left="720"/>
      <w:contextualSpacing/>
    </w:pPr>
  </w:style>
  <w:style w:type="paragraph" w:styleId="771">
    <w:name w:val="No Spacing"/>
    <w:uiPriority w:val="1"/>
    <w:qFormat/>
    <w:pPr>
      <w:spacing w:before="0" w:after="0" w:line="240" w:lineRule="auto"/>
    </w:pPr>
  </w:style>
  <w:style w:type="paragraph" w:styleId="772">
    <w:name w:val="Title"/>
    <w:basedOn w:val="930"/>
    <w:next w:val="930"/>
    <w:link w:val="773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773">
    <w:name w:val="Title Char"/>
    <w:link w:val="772"/>
    <w:uiPriority w:val="10"/>
    <w:rPr>
      <w:sz w:val="48"/>
      <w:szCs w:val="48"/>
    </w:rPr>
  </w:style>
  <w:style w:type="paragraph" w:styleId="774">
    <w:name w:val="Subtitle"/>
    <w:basedOn w:val="930"/>
    <w:next w:val="930"/>
    <w:link w:val="775"/>
    <w:uiPriority w:val="11"/>
    <w:qFormat/>
    <w:pPr>
      <w:spacing w:before="200" w:after="200"/>
    </w:pPr>
    <w:rPr>
      <w:sz w:val="24"/>
      <w:szCs w:val="24"/>
    </w:rPr>
  </w:style>
  <w:style w:type="character" w:styleId="775">
    <w:name w:val="Subtitle Char"/>
    <w:link w:val="774"/>
    <w:uiPriority w:val="11"/>
    <w:rPr>
      <w:sz w:val="24"/>
      <w:szCs w:val="24"/>
    </w:rPr>
  </w:style>
  <w:style w:type="paragraph" w:styleId="776">
    <w:name w:val="Quote"/>
    <w:basedOn w:val="930"/>
    <w:next w:val="930"/>
    <w:link w:val="777"/>
    <w:uiPriority w:val="29"/>
    <w:qFormat/>
    <w:pPr>
      <w:ind w:left="720" w:right="720"/>
    </w:pPr>
    <w:rPr>
      <w:i/>
    </w:rPr>
  </w:style>
  <w:style w:type="character" w:styleId="777">
    <w:name w:val="Quote Char"/>
    <w:link w:val="776"/>
    <w:uiPriority w:val="29"/>
    <w:rPr>
      <w:i/>
    </w:rPr>
  </w:style>
  <w:style w:type="paragraph" w:styleId="778">
    <w:name w:val="Intense Quote"/>
    <w:basedOn w:val="930"/>
    <w:next w:val="930"/>
    <w:link w:val="779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779">
    <w:name w:val="Intense Quote Char"/>
    <w:link w:val="778"/>
    <w:uiPriority w:val="30"/>
    <w:rPr>
      <w:i/>
    </w:rPr>
  </w:style>
  <w:style w:type="paragraph" w:styleId="780">
    <w:name w:val="Header"/>
    <w:basedOn w:val="930"/>
    <w:link w:val="781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81">
    <w:name w:val="Header Char"/>
    <w:link w:val="780"/>
    <w:uiPriority w:val="99"/>
  </w:style>
  <w:style w:type="paragraph" w:styleId="782">
    <w:name w:val="Footer"/>
    <w:basedOn w:val="930"/>
    <w:link w:val="783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83">
    <w:name w:val="Footer Char"/>
    <w:link w:val="782"/>
    <w:uiPriority w:val="99"/>
  </w:style>
  <w:style w:type="paragraph" w:styleId="784">
    <w:name w:val="Caption"/>
    <w:basedOn w:val="930"/>
    <w:next w:val="930"/>
    <w:link w:val="7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5">
    <w:name w:val="Caption Char"/>
    <w:link w:val="784"/>
    <w:uiPriority w:val="35"/>
    <w:rPr>
      <w:b/>
      <w:bCs/>
      <w:color w:val="4f81bd" w:themeColor="accent1"/>
      <w:sz w:val="18"/>
      <w:szCs w:val="18"/>
    </w:rPr>
  </w:style>
  <w:style w:type="table" w:styleId="78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9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1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1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1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1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1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82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82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82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82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82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82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82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3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3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3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3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4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4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4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8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8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8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9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9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2">
    <w:name w:val="Hyperlink"/>
    <w:uiPriority w:val="99"/>
    <w:unhideWhenUsed/>
    <w:rPr>
      <w:color w:val="0000ff" w:themeColor="hyperlink"/>
      <w:u w:val="single"/>
    </w:rPr>
  </w:style>
  <w:style w:type="paragraph" w:styleId="913">
    <w:name w:val="footnote text"/>
    <w:basedOn w:val="930"/>
    <w:link w:val="914"/>
    <w:uiPriority w:val="99"/>
    <w:semiHidden/>
    <w:unhideWhenUsed/>
    <w:pPr>
      <w:spacing w:after="40" w:line="240" w:lineRule="auto"/>
    </w:pPr>
    <w:rPr>
      <w:sz w:val="18"/>
    </w:rPr>
  </w:style>
  <w:style w:type="character" w:styleId="914">
    <w:name w:val="Footnote Text Char"/>
    <w:link w:val="913"/>
    <w:uiPriority w:val="99"/>
    <w:rPr>
      <w:sz w:val="18"/>
    </w:rPr>
  </w:style>
  <w:style w:type="character" w:styleId="915">
    <w:name w:val="footnote reference"/>
    <w:uiPriority w:val="99"/>
    <w:unhideWhenUsed/>
    <w:rPr>
      <w:vertAlign w:val="superscript"/>
    </w:rPr>
  </w:style>
  <w:style w:type="paragraph" w:styleId="916">
    <w:name w:val="endnote text"/>
    <w:basedOn w:val="930"/>
    <w:link w:val="917"/>
    <w:uiPriority w:val="99"/>
    <w:semiHidden/>
    <w:unhideWhenUsed/>
    <w:pPr>
      <w:spacing w:after="0" w:line="240" w:lineRule="auto"/>
    </w:pPr>
    <w:rPr>
      <w:sz w:val="20"/>
    </w:rPr>
  </w:style>
  <w:style w:type="character" w:styleId="917">
    <w:name w:val="Endnote Text Char"/>
    <w:link w:val="916"/>
    <w:uiPriority w:val="99"/>
    <w:rPr>
      <w:sz w:val="20"/>
    </w:rPr>
  </w:style>
  <w:style w:type="character" w:styleId="918">
    <w:name w:val="endnote reference"/>
    <w:uiPriority w:val="99"/>
    <w:semiHidden/>
    <w:unhideWhenUsed/>
    <w:rPr>
      <w:vertAlign w:val="superscript"/>
    </w:rPr>
  </w:style>
  <w:style w:type="paragraph" w:styleId="919">
    <w:name w:val="toc 1"/>
    <w:basedOn w:val="930"/>
    <w:next w:val="930"/>
    <w:uiPriority w:val="39"/>
    <w:unhideWhenUsed/>
    <w:pPr>
      <w:spacing w:after="57"/>
      <w:ind w:left="0" w:right="0" w:firstLine="0"/>
    </w:pPr>
  </w:style>
  <w:style w:type="paragraph" w:styleId="920">
    <w:name w:val="toc 2"/>
    <w:basedOn w:val="930"/>
    <w:next w:val="930"/>
    <w:uiPriority w:val="39"/>
    <w:unhideWhenUsed/>
    <w:pPr>
      <w:spacing w:after="57"/>
      <w:ind w:left="283" w:right="0" w:firstLine="0"/>
    </w:pPr>
  </w:style>
  <w:style w:type="paragraph" w:styleId="921">
    <w:name w:val="toc 3"/>
    <w:basedOn w:val="930"/>
    <w:next w:val="930"/>
    <w:uiPriority w:val="39"/>
    <w:unhideWhenUsed/>
    <w:pPr>
      <w:spacing w:after="57"/>
      <w:ind w:left="567" w:right="0" w:firstLine="0"/>
    </w:pPr>
  </w:style>
  <w:style w:type="paragraph" w:styleId="922">
    <w:name w:val="toc 4"/>
    <w:basedOn w:val="930"/>
    <w:next w:val="930"/>
    <w:uiPriority w:val="39"/>
    <w:unhideWhenUsed/>
    <w:pPr>
      <w:spacing w:after="57"/>
      <w:ind w:left="850" w:right="0" w:firstLine="0"/>
    </w:pPr>
  </w:style>
  <w:style w:type="paragraph" w:styleId="923">
    <w:name w:val="toc 5"/>
    <w:basedOn w:val="930"/>
    <w:next w:val="930"/>
    <w:uiPriority w:val="39"/>
    <w:unhideWhenUsed/>
    <w:pPr>
      <w:spacing w:after="57"/>
      <w:ind w:left="1134" w:right="0" w:firstLine="0"/>
    </w:pPr>
  </w:style>
  <w:style w:type="paragraph" w:styleId="924">
    <w:name w:val="toc 6"/>
    <w:basedOn w:val="930"/>
    <w:next w:val="930"/>
    <w:uiPriority w:val="39"/>
    <w:unhideWhenUsed/>
    <w:pPr>
      <w:spacing w:after="57"/>
      <w:ind w:left="1417" w:right="0" w:firstLine="0"/>
    </w:pPr>
  </w:style>
  <w:style w:type="paragraph" w:styleId="925">
    <w:name w:val="toc 7"/>
    <w:basedOn w:val="930"/>
    <w:next w:val="930"/>
    <w:uiPriority w:val="39"/>
    <w:unhideWhenUsed/>
    <w:pPr>
      <w:spacing w:after="57"/>
      <w:ind w:left="1701" w:right="0" w:firstLine="0"/>
    </w:pPr>
  </w:style>
  <w:style w:type="paragraph" w:styleId="926">
    <w:name w:val="toc 8"/>
    <w:basedOn w:val="930"/>
    <w:next w:val="930"/>
    <w:uiPriority w:val="39"/>
    <w:unhideWhenUsed/>
    <w:pPr>
      <w:spacing w:after="57"/>
      <w:ind w:left="1984" w:right="0" w:firstLine="0"/>
    </w:pPr>
  </w:style>
  <w:style w:type="paragraph" w:styleId="927">
    <w:name w:val="toc 9"/>
    <w:basedOn w:val="930"/>
    <w:next w:val="930"/>
    <w:uiPriority w:val="39"/>
    <w:unhideWhenUsed/>
    <w:pPr>
      <w:spacing w:after="57"/>
      <w:ind w:left="2268" w:right="0" w:firstLine="0"/>
    </w:pPr>
  </w:style>
  <w:style w:type="paragraph" w:styleId="928">
    <w:name w:val="TOC Heading"/>
    <w:uiPriority w:val="39"/>
    <w:unhideWhenUsed/>
  </w:style>
  <w:style w:type="paragraph" w:styleId="929">
    <w:name w:val="table of figures"/>
    <w:basedOn w:val="930"/>
    <w:next w:val="930"/>
    <w:uiPriority w:val="99"/>
    <w:unhideWhenUsed/>
    <w:pPr>
      <w:spacing w:after="0" w:afterAutospacing="0"/>
    </w:pPr>
  </w:style>
  <w:style w:type="paragraph" w:styleId="930" w:default="1">
    <w:name w:val="Normal"/>
    <w:next w:val="930"/>
    <w:link w:val="930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character" w:styleId="931">
    <w:name w:val="Основной шрифт абзаца"/>
    <w:next w:val="931"/>
    <w:link w:val="930"/>
    <w:uiPriority w:val="1"/>
    <w:unhideWhenUsed/>
  </w:style>
  <w:style w:type="table" w:styleId="932">
    <w:name w:val="Обычная таблица"/>
    <w:next w:val="932"/>
    <w:link w:val="930"/>
    <w:uiPriority w:val="99"/>
    <w:semiHidden/>
    <w:unhideWhenUsed/>
    <w:tblPr/>
  </w:style>
  <w:style w:type="numbering" w:styleId="933">
    <w:name w:val="Нет списка"/>
    <w:next w:val="933"/>
    <w:link w:val="930"/>
    <w:uiPriority w:val="99"/>
    <w:semiHidden/>
    <w:unhideWhenUsed/>
  </w:style>
  <w:style w:type="character" w:styleId="934">
    <w:name w:val="Основной текст (3)_"/>
    <w:next w:val="934"/>
    <w:link w:val="936"/>
    <w:rPr>
      <w:rFonts w:ascii="Times New Roman" w:hAnsi="Times New Roman" w:eastAsia="Times New Roman" w:cs="Times New Roman"/>
      <w:b/>
      <w:bCs/>
      <w:sz w:val="28"/>
      <w:szCs w:val="28"/>
      <w:shd w:val="clear" w:color="auto" w:fill="ffffff"/>
    </w:rPr>
  </w:style>
  <w:style w:type="character" w:styleId="935">
    <w:name w:val="Основной текст (3) + Интервал 1 pt"/>
    <w:next w:val="935"/>
    <w:link w:val="930"/>
    <w:rPr>
      <w:rFonts w:ascii="Times New Roman" w:hAnsi="Times New Roman" w:eastAsia="Times New Roman" w:cs="Times New Roman"/>
      <w:b/>
      <w:bCs/>
      <w:color w:val="000000"/>
      <w:spacing w:val="30"/>
      <w:position w:val="0"/>
      <w:sz w:val="28"/>
      <w:szCs w:val="28"/>
      <w:shd w:val="clear" w:color="auto" w:fill="ffffff"/>
      <w:lang w:val="ru-RU" w:eastAsia="ru-RU" w:bidi="ru-RU"/>
    </w:rPr>
  </w:style>
  <w:style w:type="paragraph" w:styleId="936">
    <w:name w:val="Основной текст (3)"/>
    <w:basedOn w:val="930"/>
    <w:next w:val="936"/>
    <w:link w:val="934"/>
    <w:pPr>
      <w:widowControl w:val="off"/>
      <w:shd w:val="clear" w:color="auto" w:fill="ffffff"/>
      <w:spacing w:after="0" w:line="326" w:lineRule="exact"/>
      <w:jc w:val="center"/>
    </w:pPr>
    <w:rPr>
      <w:rFonts w:ascii="Times New Roman" w:hAnsi="Times New Roman" w:eastAsia="Times New Roman"/>
      <w:b/>
      <w:bCs/>
      <w:sz w:val="28"/>
      <w:szCs w:val="28"/>
      <w:lang w:val="en-US" w:eastAsia="en-US"/>
    </w:rPr>
  </w:style>
  <w:style w:type="table" w:styleId="937">
    <w:name w:val="Сетка таблицы"/>
    <w:basedOn w:val="932"/>
    <w:next w:val="937"/>
    <w:link w:val="930"/>
    <w:uiPriority w:val="39"/>
    <w:pPr>
      <w:spacing w:after="0" w:line="240" w:lineRule="auto"/>
    </w:pPr>
    <w:tblPr/>
  </w:style>
  <w:style w:type="character" w:styleId="938">
    <w:name w:val="Основной текст (2)_"/>
    <w:next w:val="938"/>
    <w:link w:val="939"/>
    <w:rPr>
      <w:rFonts w:ascii="Times New Roman" w:hAnsi="Times New Roman" w:eastAsia="Times New Roman" w:cs="Times New Roman"/>
      <w:sz w:val="28"/>
      <w:szCs w:val="28"/>
      <w:shd w:val="clear" w:color="auto" w:fill="ffffff"/>
    </w:rPr>
  </w:style>
  <w:style w:type="paragraph" w:styleId="939">
    <w:name w:val="Основной текст (2)"/>
    <w:basedOn w:val="930"/>
    <w:next w:val="939"/>
    <w:link w:val="938"/>
    <w:pPr>
      <w:widowControl w:val="off"/>
      <w:shd w:val="clear" w:color="auto" w:fill="ffffff"/>
      <w:spacing w:before="900" w:after="0" w:line="322" w:lineRule="exact"/>
      <w:jc w:val="both"/>
    </w:pPr>
    <w:rPr>
      <w:rFonts w:ascii="Times New Roman" w:hAnsi="Times New Roman" w:eastAsia="Times New Roman"/>
      <w:sz w:val="28"/>
      <w:szCs w:val="28"/>
      <w:lang w:val="en-US" w:eastAsia="en-US"/>
    </w:rPr>
  </w:style>
  <w:style w:type="paragraph" w:styleId="940">
    <w:name w:val="Текст выноски"/>
    <w:basedOn w:val="930"/>
    <w:next w:val="940"/>
    <w:link w:val="941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 w:eastAsia="en-US"/>
    </w:rPr>
  </w:style>
  <w:style w:type="character" w:styleId="941">
    <w:name w:val="Текст выноски Знак"/>
    <w:next w:val="941"/>
    <w:link w:val="940"/>
    <w:uiPriority w:val="99"/>
    <w:semiHidden/>
    <w:rPr>
      <w:rFonts w:ascii="Tahoma" w:hAnsi="Tahoma" w:cs="Tahoma"/>
      <w:sz w:val="16"/>
      <w:szCs w:val="16"/>
    </w:rPr>
  </w:style>
  <w:style w:type="paragraph" w:styleId="942">
    <w:name w:val="Верхний колонтитул"/>
    <w:basedOn w:val="930"/>
    <w:next w:val="942"/>
    <w:link w:val="943"/>
    <w:uiPriority w:val="99"/>
    <w:unhideWhenUsed/>
    <w:pPr>
      <w:tabs>
        <w:tab w:val="center" w:pos="4677" w:leader="none"/>
        <w:tab w:val="right" w:pos="9355" w:leader="none"/>
      </w:tabs>
      <w:spacing w:after="0" w:line="240" w:lineRule="auto"/>
    </w:pPr>
  </w:style>
  <w:style w:type="character" w:styleId="943">
    <w:name w:val="Верхний колонтитул Знак"/>
    <w:basedOn w:val="931"/>
    <w:next w:val="943"/>
    <w:link w:val="942"/>
    <w:uiPriority w:val="99"/>
  </w:style>
  <w:style w:type="paragraph" w:styleId="944">
    <w:name w:val="Нижний колонтитул"/>
    <w:basedOn w:val="930"/>
    <w:next w:val="944"/>
    <w:link w:val="945"/>
    <w:uiPriority w:val="99"/>
    <w:unhideWhenUsed/>
    <w:pPr>
      <w:tabs>
        <w:tab w:val="center" w:pos="4677" w:leader="none"/>
        <w:tab w:val="right" w:pos="9355" w:leader="none"/>
      </w:tabs>
      <w:spacing w:after="0" w:line="240" w:lineRule="auto"/>
    </w:pPr>
  </w:style>
  <w:style w:type="character" w:styleId="945">
    <w:name w:val="Нижний колонтитул Знак"/>
    <w:basedOn w:val="931"/>
    <w:next w:val="945"/>
    <w:link w:val="944"/>
    <w:uiPriority w:val="99"/>
  </w:style>
  <w:style w:type="paragraph" w:styleId="946">
    <w:name w:val="Основной текст"/>
    <w:basedOn w:val="930"/>
    <w:next w:val="946"/>
    <w:link w:val="947"/>
    <w:uiPriority w:val="99"/>
    <w:pPr>
      <w:widowControl w:val="off"/>
      <w:spacing w:after="0" w:line="240" w:lineRule="auto"/>
      <w:ind w:left="1239"/>
    </w:pPr>
    <w:rPr>
      <w:rFonts w:ascii="Times New Roman" w:hAnsi="Times New Roman" w:eastAsia="Times New Roman"/>
      <w:sz w:val="28"/>
      <w:szCs w:val="28"/>
      <w:lang w:val="en-US" w:eastAsia="ru-RU"/>
    </w:rPr>
  </w:style>
  <w:style w:type="character" w:styleId="947">
    <w:name w:val="Основной текст Знак"/>
    <w:next w:val="947"/>
    <w:link w:val="946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48">
    <w:name w:val="Default"/>
    <w:next w:val="948"/>
    <w:link w:val="930"/>
    <w:rPr>
      <w:rFonts w:ascii="Times New Roman" w:hAnsi="Times New Roman"/>
      <w:color w:val="000000"/>
      <w:sz w:val="24"/>
      <w:szCs w:val="24"/>
      <w:lang w:val="ru-RU" w:eastAsia="ru-RU" w:bidi="ar-SA"/>
    </w:rPr>
  </w:style>
  <w:style w:type="paragraph" w:styleId="949">
    <w:name w:val="Основной текст 2"/>
    <w:basedOn w:val="930"/>
    <w:next w:val="949"/>
    <w:link w:val="950"/>
    <w:pPr>
      <w:spacing w:after="120" w:line="480" w:lineRule="auto"/>
    </w:pPr>
    <w:rPr>
      <w:rFonts w:ascii="Times New Roman" w:hAnsi="Times New Roman" w:eastAsia="Times New Roman"/>
      <w:sz w:val="20"/>
      <w:szCs w:val="20"/>
      <w:lang w:val="en-US" w:eastAsia="en-US"/>
    </w:rPr>
  </w:style>
  <w:style w:type="character" w:styleId="950">
    <w:name w:val="Основной текст 2 Знак"/>
    <w:next w:val="950"/>
    <w:link w:val="949"/>
    <w:rPr>
      <w:rFonts w:ascii="Times New Roman" w:hAnsi="Times New Roman" w:eastAsia="Times New Roman"/>
    </w:rPr>
  </w:style>
  <w:style w:type="paragraph" w:styleId="951">
    <w:name w:val="Текст"/>
    <w:basedOn w:val="930"/>
    <w:next w:val="951"/>
    <w:link w:val="952"/>
    <w:pPr>
      <w:spacing w:after="0" w:line="240" w:lineRule="auto"/>
    </w:pPr>
    <w:rPr>
      <w:rFonts w:ascii="Courier New" w:hAnsi="Courier New" w:eastAsia="Times New Roman"/>
      <w:sz w:val="20"/>
      <w:szCs w:val="20"/>
      <w:lang w:val="en-US" w:eastAsia="en-US"/>
    </w:rPr>
  </w:style>
  <w:style w:type="character" w:styleId="952">
    <w:name w:val="Текст Знак"/>
    <w:next w:val="952"/>
    <w:link w:val="951"/>
    <w:rPr>
      <w:rFonts w:ascii="Courier New" w:hAnsi="Courier New" w:eastAsia="Times New Roman"/>
      <w:lang w:val="en-US" w:eastAsia="en-US"/>
    </w:rPr>
  </w:style>
  <w:style w:type="paragraph" w:styleId="953">
    <w:name w:val="Style7"/>
    <w:basedOn w:val="930"/>
    <w:next w:val="930"/>
    <w:link w:val="930"/>
    <w:uiPriority w:val="99"/>
    <w:pPr>
      <w:spacing w:after="0" w:line="206" w:lineRule="exact"/>
      <w:ind w:firstLine="180"/>
    </w:pPr>
    <w:rPr>
      <w:rFonts w:ascii="Times New Roman" w:hAnsi="Times New Roman" w:eastAsia="Times New Roman"/>
      <w:sz w:val="26"/>
      <w:szCs w:val="20"/>
      <w:lang w:eastAsia="ar-SA"/>
    </w:rPr>
  </w:style>
  <w:style w:type="paragraph" w:styleId="954">
    <w:name w:val="Основной текст 3"/>
    <w:basedOn w:val="930"/>
    <w:next w:val="954"/>
    <w:link w:val="955"/>
    <w:uiPriority w:val="99"/>
    <w:unhideWhenUsed/>
    <w:pPr>
      <w:spacing w:after="120"/>
    </w:pPr>
    <w:rPr>
      <w:sz w:val="16"/>
      <w:szCs w:val="16"/>
      <w:lang w:val="en-US"/>
    </w:rPr>
  </w:style>
  <w:style w:type="character" w:styleId="955">
    <w:name w:val="Основной текст 3 Знак"/>
    <w:next w:val="955"/>
    <w:link w:val="954"/>
    <w:uiPriority w:val="99"/>
    <w:rPr>
      <w:sz w:val="16"/>
      <w:szCs w:val="16"/>
      <w:lang w:eastAsia="en-US"/>
    </w:rPr>
  </w:style>
  <w:style w:type="paragraph" w:styleId="956">
    <w:name w:val="Обычный (веб)"/>
    <w:basedOn w:val="930"/>
    <w:next w:val="956"/>
    <w:link w:val="930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57" w:default="1">
    <w:name w:val="Default Paragraph Font"/>
    <w:uiPriority w:val="1"/>
    <w:semiHidden/>
    <w:unhideWhenUsed/>
  </w:style>
  <w:style w:type="numbering" w:styleId="958" w:default="1">
    <w:name w:val="No List"/>
    <w:uiPriority w:val="99"/>
    <w:semiHidden/>
    <w:unhideWhenUsed/>
  </w:style>
  <w:style w:type="table" w:styleId="959" w:default="1">
    <w:name w:val="Normal Table"/>
    <w:uiPriority w:val="99"/>
    <w:semiHidden/>
    <w:unhideWhenUsed/>
    <w:tblPr/>
  </w:style>
  <w:style w:type="paragraph" w:styleId="960" w:customStyle="1">
    <w:name w:val="ConsPlusTitle"/>
    <w:pPr>
      <w:keepNext w:val="0"/>
      <w:keepLines w:val="0"/>
      <w:pageBreakBefore w:val="0"/>
      <w:widowControl w:val="off"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before="0" w:beforeAutospacing="0" w:after="0" w:afterAutospacing="0" w:line="240" w:lineRule="auto"/>
      <w:ind w:left="0" w:right="0" w:firstLine="709"/>
      <w:contextualSpacing w:val="0"/>
      <w:jc w:val="both"/>
    </w:pPr>
    <w:rPr>
      <w:rFonts w:ascii="Arial" w:hAnsi="Arial" w:eastAsia="Times New Roman" w:cs="Arial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961" w:customStyle="1">
    <w:name w:val="Body Text"/>
    <w:uiPriority w:val="1"/>
    <w:qFormat/>
    <w:pPr>
      <w:keepNext w:val="0"/>
      <w:keepLines w:val="0"/>
      <w:pageBreakBefore w:val="0"/>
      <w:widowControl w:val="off"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before="0" w:beforeAutospacing="0" w:after="0" w:afterAutospacing="0" w:line="240" w:lineRule="auto"/>
      <w:ind w:left="0" w:right="0" w:firstLine="0"/>
      <w:contextualSpacing w:val="0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9"/>
      <w:szCs w:val="29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962" w:customStyle="1">
    <w:name w:val="Table Paragraph"/>
    <w:uiPriority w:val="1"/>
    <w:qFormat/>
    <w:pPr>
      <w:keepNext w:val="0"/>
      <w:keepLines w:val="0"/>
      <w:pageBreakBefore w:val="0"/>
      <w:widowControl w:val="off"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before="0" w:beforeAutospacing="0" w:after="0" w:afterAutospacing="0" w:line="240" w:lineRule="auto"/>
      <w:ind w:left="0" w:right="0" w:firstLine="0"/>
      <w:contextualSpacing w:val="0"/>
      <w:jc w:val="center"/>
    </w:pPr>
    <w:rPr>
      <w:rFonts w:ascii="Cambria" w:hAnsi="Cambria" w:eastAsia="Cambria" w:cs="Cambria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963" w:customStyle="1">
    <w:name w:val="Содержимое врезки"/>
    <w:qFormat/>
    <w:pPr>
      <w:keepNext w:val="0"/>
      <w:keepLines w:val="0"/>
      <w:pageBreakBefore w:val="0"/>
      <w:widowControl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before="0" w:beforeAutospacing="0" w:after="200" w:afterAutospacing="0" w:line="276" w:lineRule="auto"/>
      <w:ind w:left="0" w:right="0" w:firstLine="0"/>
      <w:contextualSpacing w:val="0"/>
      <w:jc w:val="left"/>
    </w:pPr>
    <w:rPr>
      <w:rFonts w:asciiTheme="minorHAnsi" w:hAnsiTheme="minorHAnsi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SPecialiST RePack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2</dc:creator>
  <cp:lastModifiedBy>user</cp:lastModifiedBy>
  <cp:revision>23</cp:revision>
  <dcterms:created xsi:type="dcterms:W3CDTF">2025-01-15T13:58:00Z</dcterms:created>
  <dcterms:modified xsi:type="dcterms:W3CDTF">2026-01-19T11:25:44Z</dcterms:modified>
  <cp:version>1048576</cp:version>
</cp:coreProperties>
</file>